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844" w:rsidRDefault="001C5974" w:rsidP="0046719D">
      <w:pPr>
        <w:tabs>
          <w:tab w:val="left" w:pos="2925"/>
        </w:tabs>
      </w:pPr>
      <w:r>
        <w:rPr>
          <w:noProof/>
          <w:lang w:val="de-DE"/>
        </w:rPr>
        <w:drawing>
          <wp:anchor distT="0" distB="0" distL="114300" distR="114300" simplePos="0" relativeHeight="251658752" behindDoc="1" locked="0" layoutInCell="1" allowOverlap="1">
            <wp:simplePos x="0" y="0"/>
            <wp:positionH relativeFrom="column">
              <wp:posOffset>-433070</wp:posOffset>
            </wp:positionH>
            <wp:positionV relativeFrom="paragraph">
              <wp:posOffset>-518160</wp:posOffset>
            </wp:positionV>
            <wp:extent cx="7528560" cy="10664190"/>
            <wp:effectExtent l="0" t="0" r="0" b="0"/>
            <wp:wrapNone/>
            <wp:docPr id="12" name="Grafik 1" descr="GIZ_Sidebar_Header_SPIS 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GIZ_Sidebar_Header_SPIS rev"/>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8560" cy="10664190"/>
                    </a:xfrm>
                    <a:prstGeom prst="rect">
                      <a:avLst/>
                    </a:prstGeom>
                    <a:noFill/>
                  </pic:spPr>
                </pic:pic>
              </a:graphicData>
            </a:graphic>
            <wp14:sizeRelH relativeFrom="page">
              <wp14:pctWidth>0</wp14:pctWidth>
            </wp14:sizeRelH>
            <wp14:sizeRelV relativeFrom="page">
              <wp14:pctHeight>0</wp14:pctHeight>
            </wp14:sizeRelV>
          </wp:anchor>
        </w:drawing>
      </w:r>
      <w:r w:rsidR="0046719D">
        <w:tab/>
      </w:r>
    </w:p>
    <w:p w:rsidR="001C1844" w:rsidRDefault="001C1844" w:rsidP="001C1844">
      <w:pPr>
        <w:rPr>
          <w:lang w:val="en-US"/>
        </w:rPr>
      </w:pPr>
    </w:p>
    <w:p w:rsidR="001C1844" w:rsidRDefault="001C1844" w:rsidP="001C1844">
      <w:pPr>
        <w:rPr>
          <w:lang w:val="en-US"/>
        </w:rPr>
      </w:pPr>
    </w:p>
    <w:p w:rsidR="001C1844" w:rsidRDefault="001C1844" w:rsidP="001C1844">
      <w:pPr>
        <w:rPr>
          <w:lang w:val="en-US"/>
        </w:rPr>
      </w:pPr>
    </w:p>
    <w:p w:rsidR="001C1844" w:rsidRDefault="001C1844" w:rsidP="001C1844">
      <w:pPr>
        <w:rPr>
          <w:lang w:val="en-US"/>
        </w:rPr>
      </w:pPr>
    </w:p>
    <w:p w:rsidR="001C1844" w:rsidRDefault="001C1844" w:rsidP="001C1844">
      <w:pPr>
        <w:rPr>
          <w:lang w:val="en-US"/>
        </w:rPr>
      </w:pPr>
    </w:p>
    <w:p w:rsidR="001C1844" w:rsidRDefault="001C1844" w:rsidP="001C1844">
      <w:pPr>
        <w:ind w:left="2268"/>
        <w:rPr>
          <w:caps/>
          <w:noProof/>
          <w:color w:val="FFFFFF" w:themeColor="background1"/>
          <w:sz w:val="40"/>
        </w:rPr>
      </w:pPr>
    </w:p>
    <w:p w:rsidR="001C1844" w:rsidRDefault="001C1844" w:rsidP="001C1844">
      <w:pPr>
        <w:ind w:left="2268"/>
        <w:rPr>
          <w:caps/>
          <w:noProof/>
          <w:sz w:val="40"/>
        </w:rPr>
      </w:pPr>
    </w:p>
    <w:p w:rsidR="001C1844" w:rsidRDefault="001C1844" w:rsidP="001C1844">
      <w:pPr>
        <w:ind w:left="2268"/>
        <w:rPr>
          <w:caps/>
          <w:noProof/>
          <w:sz w:val="40"/>
        </w:rPr>
      </w:pPr>
    </w:p>
    <w:p w:rsidR="001C1844" w:rsidRDefault="001C1844" w:rsidP="001C1844">
      <w:pPr>
        <w:ind w:left="2268"/>
        <w:rPr>
          <w:caps/>
          <w:noProof/>
          <w:sz w:val="40"/>
        </w:rPr>
      </w:pPr>
    </w:p>
    <w:p w:rsidR="001C1844" w:rsidRDefault="001C1844" w:rsidP="001C1844">
      <w:pPr>
        <w:ind w:left="2268"/>
        <w:rPr>
          <w:caps/>
          <w:noProof/>
          <w:sz w:val="40"/>
        </w:rPr>
      </w:pPr>
    </w:p>
    <w:p w:rsidR="001C1844" w:rsidRDefault="001C1844" w:rsidP="001C1844">
      <w:pPr>
        <w:rPr>
          <w:sz w:val="44"/>
          <w:lang w:val="en-US"/>
        </w:rPr>
      </w:pPr>
    </w:p>
    <w:p w:rsidR="001C1844" w:rsidRPr="00092085" w:rsidRDefault="00DC6021" w:rsidP="001C1844">
      <w:pPr>
        <w:ind w:left="2268"/>
        <w:jc w:val="center"/>
        <w:rPr>
          <w:b/>
          <w:color w:val="666666"/>
          <w:sz w:val="56"/>
          <w:szCs w:val="56"/>
        </w:rPr>
      </w:pPr>
      <w:r>
        <w:rPr>
          <w:b/>
          <w:color w:val="666666"/>
          <w:sz w:val="56"/>
          <w:szCs w:val="56"/>
        </w:rPr>
        <w:t>Promotion :</w:t>
      </w:r>
    </w:p>
    <w:p w:rsidR="001C1844" w:rsidRPr="00092085" w:rsidRDefault="006600F1" w:rsidP="001C1844">
      <w:pPr>
        <w:ind w:left="2268"/>
        <w:jc w:val="center"/>
        <w:rPr>
          <w:b/>
          <w:color w:val="666666"/>
          <w:sz w:val="56"/>
          <w:szCs w:val="56"/>
        </w:rPr>
      </w:pPr>
      <w:r>
        <w:rPr>
          <w:b/>
          <w:color w:val="666666"/>
          <w:sz w:val="56"/>
          <w:szCs w:val="56"/>
        </w:rPr>
        <w:t>Évaluation rapide des SPIS</w:t>
      </w:r>
    </w:p>
    <w:p w:rsidR="001C1844" w:rsidRPr="00F31A94" w:rsidRDefault="001C1844" w:rsidP="001C1844">
      <w:pPr>
        <w:ind w:left="2268"/>
      </w:pPr>
    </w:p>
    <w:p w:rsidR="001C1844" w:rsidRPr="00846170" w:rsidRDefault="00DC6021" w:rsidP="001C1844">
      <w:pPr>
        <w:ind w:left="2268"/>
      </w:pPr>
      <w:r>
        <w:rPr>
          <w:noProof/>
          <w:lang w:val="de-DE"/>
        </w:rPr>
        <w:drawing>
          <wp:anchor distT="0" distB="0" distL="114300" distR="114300" simplePos="0" relativeHeight="251656704" behindDoc="0" locked="0" layoutInCell="1" allowOverlap="1" wp14:anchorId="1E5F2BEF" wp14:editId="44253E6D">
            <wp:simplePos x="0" y="0"/>
            <wp:positionH relativeFrom="column">
              <wp:posOffset>1571625</wp:posOffset>
            </wp:positionH>
            <wp:positionV relativeFrom="paragraph">
              <wp:posOffset>5457825</wp:posOffset>
            </wp:positionV>
            <wp:extent cx="5558155" cy="513060"/>
            <wp:effectExtent l="0" t="0" r="0" b="190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558155" cy="513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1C1844" w:rsidRPr="00F31A94" w:rsidRDefault="001C1844" w:rsidP="001C1844">
      <w:pPr>
        <w:sectPr w:rsidR="001C1844" w:rsidRPr="00F31A94" w:rsidSect="000F3384">
          <w:headerReference w:type="default" r:id="rId10"/>
          <w:footerReference w:type="default" r:id="rId11"/>
          <w:footerReference w:type="first" r:id="rId12"/>
          <w:pgSz w:w="11907" w:h="16840" w:code="9"/>
          <w:pgMar w:top="720" w:right="720" w:bottom="720" w:left="720" w:header="567" w:footer="567" w:gutter="0"/>
          <w:cols w:space="720"/>
          <w:docGrid w:linePitch="360"/>
        </w:sectPr>
      </w:pPr>
    </w:p>
    <w:p w:rsidR="002151B6" w:rsidRPr="008673B3" w:rsidRDefault="002151B6" w:rsidP="002151B6">
      <w:pPr>
        <w:rPr>
          <w:rFonts w:ascii="Arial" w:hAnsi="Arial" w:cs="Arial"/>
        </w:rPr>
      </w:pPr>
      <w:r>
        <w:rPr>
          <w:rFonts w:ascii="Arial" w:hAnsi="Arial"/>
        </w:rPr>
        <w:lastRenderedPageBreak/>
        <w:t>La boîte à outils sur les systèmes d’irrigation à énergie solaire (</w:t>
      </w:r>
      <w:r w:rsidR="006600F1">
        <w:rPr>
          <w:rFonts w:ascii="Arial" w:hAnsi="Arial"/>
        </w:rPr>
        <w:t>SPIS</w:t>
      </w:r>
      <w:r>
        <w:rPr>
          <w:rFonts w:ascii="Arial" w:hAnsi="Arial"/>
        </w:rPr>
        <w:t xml:space="preserve">) a pu être développée grâce à l’initiative Propulser l’agriculture : un grand défi énergétique pour le développement (Powering Agriculture: An Energy Grand Challenge for </w:t>
      </w:r>
      <w:proofErr w:type="spellStart"/>
      <w:r>
        <w:rPr>
          <w:rFonts w:ascii="Arial" w:hAnsi="Arial"/>
        </w:rPr>
        <w:t>Development</w:t>
      </w:r>
      <w:proofErr w:type="spellEnd"/>
      <w:r>
        <w:rPr>
          <w:rFonts w:ascii="Arial" w:hAnsi="Arial"/>
        </w:rPr>
        <w:t xml:space="preserve"> – PAEGC). En 2012, l’Agence des États-Unis pour le développement international (USAID), l’Agence suédoise de coopération internationale </w:t>
      </w:r>
      <w:r w:rsidR="0046719D">
        <w:rPr>
          <w:rFonts w:ascii="Arial" w:hAnsi="Arial"/>
        </w:rPr>
        <w:t>pour le</w:t>
      </w:r>
      <w:r>
        <w:rPr>
          <w:rFonts w:ascii="Arial" w:hAnsi="Arial"/>
        </w:rPr>
        <w:t xml:space="preserve"> développement (Sida), le ministère fédéral allemand de la Coopération économique et du Développement (BMZ), Duke Energy et l’</w:t>
      </w:r>
      <w:proofErr w:type="spellStart"/>
      <w:r>
        <w:rPr>
          <w:rFonts w:ascii="Arial" w:hAnsi="Arial"/>
        </w:rPr>
        <w:t>Overseas</w:t>
      </w:r>
      <w:proofErr w:type="spellEnd"/>
      <w:r>
        <w:rPr>
          <w:rFonts w:ascii="Arial" w:hAnsi="Arial"/>
        </w:rPr>
        <w:t xml:space="preserve"> </w:t>
      </w:r>
      <w:proofErr w:type="spellStart"/>
      <w:r>
        <w:rPr>
          <w:rFonts w:ascii="Arial" w:hAnsi="Arial"/>
        </w:rPr>
        <w:t>Private</w:t>
      </w:r>
      <w:proofErr w:type="spellEnd"/>
      <w:r>
        <w:rPr>
          <w:rFonts w:ascii="Arial" w:hAnsi="Arial"/>
        </w:rPr>
        <w:t xml:space="preserve"> Investment </w:t>
      </w:r>
      <w:proofErr w:type="spellStart"/>
      <w:r>
        <w:rPr>
          <w:rFonts w:ascii="Arial" w:hAnsi="Arial"/>
        </w:rPr>
        <w:t>Cooperation</w:t>
      </w:r>
      <w:proofErr w:type="spellEnd"/>
      <w:r>
        <w:rPr>
          <w:rFonts w:ascii="Arial" w:hAnsi="Arial"/>
        </w:rPr>
        <w:t xml:space="preserve"> (OPIC) ont combiné leurs ressources pour créer l’initiative PAEGC. Cette initiative a pour objectif d’appuyer de</w:t>
      </w:r>
      <w:r w:rsidR="009F38C4">
        <w:rPr>
          <w:rFonts w:ascii="Arial" w:hAnsi="Arial"/>
        </w:rPr>
        <w:t>s</w:t>
      </w:r>
      <w:r>
        <w:rPr>
          <w:rFonts w:ascii="Arial" w:hAnsi="Arial"/>
        </w:rPr>
        <w:t xml:space="preserve"> nouvelles approches durables capables d’accélérer le développement et le déploiement de solutions énergétiques propres afin d’améliorer la productivité et/ou la valeur pour les agriculteurs et les entreprises agroalimentaires dans les pays en développement et dans les régions émergentes qui n’ont pas accès à une énergie fiable, abordable et propre.</w:t>
      </w:r>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bCs/>
          <w:color w:val="879B32"/>
        </w:rPr>
        <w:t>Publié par :</w:t>
      </w:r>
    </w:p>
    <w:p w:rsidR="00E8032B" w:rsidRPr="008673B3" w:rsidRDefault="00E8032B" w:rsidP="00E8032B">
      <w:pPr>
        <w:rPr>
          <w:rFonts w:ascii="Arial" w:hAnsi="Arial" w:cs="Arial"/>
        </w:rPr>
      </w:pPr>
      <w:r>
        <w:rPr>
          <w:rFonts w:ascii="Arial" w:hAnsi="Arial"/>
        </w:rPr>
        <w:t xml:space="preserve">Deutsche Gesellschaft </w:t>
      </w:r>
      <w:proofErr w:type="spellStart"/>
      <w:r>
        <w:rPr>
          <w:rFonts w:ascii="Arial" w:hAnsi="Arial"/>
        </w:rPr>
        <w:t>für</w:t>
      </w:r>
      <w:proofErr w:type="spellEnd"/>
      <w:r>
        <w:rPr>
          <w:rFonts w:ascii="Arial" w:hAnsi="Arial"/>
        </w:rPr>
        <w:t xml:space="preserve"> Internationale </w:t>
      </w:r>
      <w:proofErr w:type="spellStart"/>
      <w:r>
        <w:rPr>
          <w:rFonts w:ascii="Arial" w:hAnsi="Arial"/>
        </w:rPr>
        <w:t>Zusammenarbeit</w:t>
      </w:r>
      <w:proofErr w:type="spellEnd"/>
      <w:r>
        <w:rPr>
          <w:rFonts w:ascii="Arial" w:hAnsi="Arial"/>
        </w:rPr>
        <w:t xml:space="preserve"> (GIZ) GmbH </w:t>
      </w:r>
      <w:r w:rsidR="0046719D">
        <w:rPr>
          <w:rFonts w:ascii="Arial" w:hAnsi="Arial"/>
        </w:rPr>
        <w:t>sur mandat</w:t>
      </w:r>
      <w:r>
        <w:rPr>
          <w:rFonts w:ascii="Arial" w:hAnsi="Arial"/>
        </w:rPr>
        <w:t xml:space="preserve"> du BMZ en tant que partenaire fondateur de l’initiative mondiale Propulser l’agriculture : un grand défi énergétique pour le développement (PAEGC) et de l’Organisation des Nations unies pour l’alimentation et l’agriculture (FAO)</w:t>
      </w:r>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color w:val="879B32"/>
        </w:rPr>
        <w:t>Responsable</w:t>
      </w:r>
    </w:p>
    <w:p w:rsidR="002151B6" w:rsidRPr="008673B3" w:rsidRDefault="002151B6" w:rsidP="002151B6">
      <w:pPr>
        <w:rPr>
          <w:rFonts w:ascii="Arial" w:hAnsi="Arial" w:cs="Arial"/>
        </w:rPr>
      </w:pPr>
      <w:r>
        <w:rPr>
          <w:rFonts w:ascii="Arial" w:hAnsi="Arial"/>
        </w:rPr>
        <w:t xml:space="preserve">Projet de la </w:t>
      </w:r>
      <w:r>
        <w:rPr>
          <w:rFonts w:ascii="Arial" w:hAnsi="Arial"/>
          <w:caps/>
        </w:rPr>
        <w:t>GIZ</w:t>
      </w:r>
      <w:r>
        <w:rPr>
          <w:rFonts w:ascii="Arial" w:hAnsi="Arial"/>
        </w:rPr>
        <w:t xml:space="preserve"> ’Énergie durable pour l’alimentation – Propulser l’agriculture’ (</w:t>
      </w:r>
      <w:proofErr w:type="spellStart"/>
      <w:r>
        <w:rPr>
          <w:rFonts w:ascii="Arial" w:hAnsi="Arial"/>
        </w:rPr>
        <w:t>Sustainable</w:t>
      </w:r>
      <w:proofErr w:type="spellEnd"/>
      <w:r>
        <w:rPr>
          <w:rFonts w:ascii="Arial" w:hAnsi="Arial"/>
        </w:rPr>
        <w:t xml:space="preserve"> Energy for Food – Powering Agriculture)</w:t>
      </w:r>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color w:val="879B32"/>
        </w:rPr>
        <w:t>Contact</w:t>
      </w:r>
    </w:p>
    <w:p w:rsidR="002151B6" w:rsidRPr="008673B3" w:rsidRDefault="006600F1" w:rsidP="002151B6">
      <w:pPr>
        <w:rPr>
          <w:rFonts w:ascii="Arial" w:hAnsi="Arial" w:cs="Arial"/>
        </w:rPr>
      </w:pPr>
      <w:hyperlink r:id="rId13" w:history="1">
        <w:r w:rsidR="003A2ED1">
          <w:rPr>
            <w:rStyle w:val="Hyperlink"/>
            <w:rFonts w:ascii="Arial" w:hAnsi="Arial"/>
          </w:rPr>
          <w:t>Powering.Agriculture@giz.de</w:t>
        </w:r>
      </w:hyperlink>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color w:val="879B32"/>
        </w:rPr>
        <w:t>Téléchargement</w:t>
      </w:r>
    </w:p>
    <w:p w:rsidR="002151B6" w:rsidRPr="008673B3" w:rsidRDefault="006600F1" w:rsidP="002151B6">
      <w:pPr>
        <w:rPr>
          <w:rFonts w:ascii="Arial" w:hAnsi="Arial" w:cs="Arial"/>
        </w:rPr>
      </w:pPr>
      <w:hyperlink r:id="rId14" w:history="1">
        <w:r w:rsidR="003A2ED1">
          <w:rPr>
            <w:rStyle w:val="Hyperlink"/>
            <w:rFonts w:ascii="Arial" w:hAnsi="Arial"/>
          </w:rPr>
          <w:t>https://energypedia.info/wiki/Toolbox_on_</w:t>
        </w:r>
        <w:r>
          <w:rPr>
            <w:rStyle w:val="Hyperlink"/>
            <w:rFonts w:ascii="Arial" w:hAnsi="Arial"/>
          </w:rPr>
          <w:t>SPIS</w:t>
        </w:r>
      </w:hyperlink>
      <w:bookmarkStart w:id="0" w:name="_GoBack"/>
      <w:bookmarkEnd w:id="0"/>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color w:val="879B32"/>
        </w:rPr>
        <w:t xml:space="preserve">À propos de </w:t>
      </w:r>
    </w:p>
    <w:p w:rsidR="002151B6" w:rsidRPr="008673B3" w:rsidRDefault="002151B6" w:rsidP="002151B6">
      <w:pPr>
        <w:rPr>
          <w:rFonts w:ascii="Arial" w:hAnsi="Arial" w:cs="Arial"/>
        </w:rPr>
      </w:pPr>
      <w:r>
        <w:rPr>
          <w:rFonts w:ascii="Arial" w:hAnsi="Arial"/>
        </w:rPr>
        <w:t xml:space="preserve">Propulser l’agriculture : un grand défi énergétique pour le développement : </w:t>
      </w:r>
      <w:hyperlink r:id="rId15" w:history="1">
        <w:r>
          <w:rPr>
            <w:rStyle w:val="Hyperlink"/>
            <w:rFonts w:ascii="Arial" w:hAnsi="Arial"/>
          </w:rPr>
          <w:t>https://poweringag.org</w:t>
        </w:r>
      </w:hyperlink>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color w:val="879B32"/>
        </w:rPr>
        <w:t>Version</w:t>
      </w:r>
    </w:p>
    <w:p w:rsidR="002151B6" w:rsidRPr="008673B3" w:rsidRDefault="00B94F57" w:rsidP="002151B6">
      <w:pPr>
        <w:rPr>
          <w:rFonts w:ascii="Arial" w:hAnsi="Arial" w:cs="Arial"/>
        </w:rPr>
      </w:pPr>
      <w:r>
        <w:rPr>
          <w:rFonts w:ascii="Arial" w:hAnsi="Arial"/>
        </w:rPr>
        <w:t>0.2 (octobre 2017)</w:t>
      </w:r>
    </w:p>
    <w:p w:rsidR="002151B6" w:rsidRPr="00F31A94" w:rsidRDefault="002151B6" w:rsidP="002151B6">
      <w:pPr>
        <w:rPr>
          <w:rFonts w:ascii="Arial" w:hAnsi="Arial" w:cs="Arial"/>
        </w:rPr>
      </w:pPr>
    </w:p>
    <w:p w:rsidR="002151B6" w:rsidRPr="008673B3" w:rsidRDefault="002151B6" w:rsidP="002151B6">
      <w:pPr>
        <w:rPr>
          <w:rFonts w:ascii="Arial" w:hAnsi="Arial" w:cs="Arial"/>
          <w:color w:val="879B32"/>
        </w:rPr>
      </w:pPr>
      <w:r>
        <w:rPr>
          <w:rFonts w:ascii="Arial" w:hAnsi="Arial"/>
          <w:color w:val="879B32"/>
        </w:rPr>
        <w:t>Décharge de responsabilité</w:t>
      </w:r>
    </w:p>
    <w:p w:rsidR="00342023" w:rsidRPr="008673B3" w:rsidRDefault="00342023" w:rsidP="00342023">
      <w:pPr>
        <w:rPr>
          <w:rFonts w:ascii="Arial" w:hAnsi="Arial" w:cs="Arial"/>
        </w:rPr>
      </w:pPr>
      <w:r>
        <w:rPr>
          <w:rFonts w:ascii="Arial" w:hAnsi="Arial"/>
        </w:rPr>
        <w:t xml:space="preserve">Les dénominations utilisées et les documents présentés dans cette publication ne constituent en aucun cas l’expression d’une quelconque opinion de la part de Deutsche Gesellschaft </w:t>
      </w:r>
      <w:proofErr w:type="spellStart"/>
      <w:r>
        <w:rPr>
          <w:rFonts w:ascii="Arial" w:hAnsi="Arial"/>
        </w:rPr>
        <w:t>für</w:t>
      </w:r>
      <w:proofErr w:type="spellEnd"/>
      <w:r>
        <w:rPr>
          <w:rFonts w:ascii="Arial" w:hAnsi="Arial"/>
        </w:rPr>
        <w:t xml:space="preserve"> Internationale </w:t>
      </w:r>
      <w:proofErr w:type="spellStart"/>
      <w:r>
        <w:rPr>
          <w:rFonts w:ascii="Arial" w:hAnsi="Arial"/>
        </w:rPr>
        <w:t>Zusammenarbeit</w:t>
      </w:r>
      <w:proofErr w:type="spellEnd"/>
      <w:r>
        <w:rPr>
          <w:rFonts w:ascii="Arial" w:hAnsi="Arial"/>
        </w:rPr>
        <w:t xml:space="preserve"> (GIZ) GmbH, de l’Organisation des Nations unies pour l’alimentation et l’agriculture (FAO) ou d’un quelconque des partenaires fondateurs de PAEGC quant au statut légal ou au statut de développement d’un quelconque pays, territoire, ville ou région ou de ses autorités ou quant à la délimitation de ses frontières. La mention d’entreprises ou de produits de fabricants, que ceux-ci aient ou non été brevetés, n’implique pas qu’ils ont été validés ou recommandés par la GIZ, la FAO ou un quelconque des partenaires fondateurs de l’initiative PAEGC par rapport à d’autres de nature similaire qui ne sont pas mentionnés. Les points de vue exprimés dans cette publication sont ceux de l’auteur et ne reflètent pas obligatoirement les opinions ou politiques de la GIZ, de la FAO ou d’un quelconque des partenaires fondateurs de l’initiative PAEGC.</w:t>
      </w:r>
    </w:p>
    <w:p w:rsidR="00342023" w:rsidRPr="00F31A94" w:rsidRDefault="00342023" w:rsidP="00342023">
      <w:pPr>
        <w:rPr>
          <w:rFonts w:ascii="Arial" w:hAnsi="Arial" w:cs="Arial"/>
        </w:rPr>
      </w:pPr>
    </w:p>
    <w:p w:rsidR="00342023" w:rsidRDefault="00342023" w:rsidP="00342023">
      <w:pPr>
        <w:rPr>
          <w:rFonts w:ascii="Arial" w:hAnsi="Arial" w:cs="Arial"/>
        </w:rPr>
      </w:pPr>
      <w:r>
        <w:rPr>
          <w:rFonts w:ascii="Arial" w:hAnsi="Arial"/>
        </w:rPr>
        <w:t>La GIZ, la FAO et les partenaires fondateurs de l’initiative PAEGC encouragent l’utilisation, la reproduction et la diffusion du contenu de cette publication. Sauf mention contraire, le contenu peut être copié, téléchargé et imprimé à des fins d’étude, de recherche et d’enseignement privés ou à des fins d’utilisation dans des produits ou services non commerciaux, à condition qu’il soit fait mention de la GIZ et de la FAO comme source et comme détenteur des droits d’auteur.</w:t>
      </w:r>
    </w:p>
    <w:p w:rsidR="002151B6" w:rsidRDefault="00354F43" w:rsidP="002151B6">
      <w:pPr>
        <w:rPr>
          <w:rFonts w:ascii="Arial" w:hAnsi="Arial" w:cs="Arial"/>
        </w:rPr>
      </w:pPr>
      <w:r>
        <w:rPr>
          <w:noProof/>
          <w:sz w:val="16"/>
          <w:szCs w:val="16"/>
          <w:lang w:val="de-DE"/>
        </w:rPr>
        <w:lastRenderedPageBreak/>
        <w:drawing>
          <wp:anchor distT="0" distB="0" distL="114300" distR="114300" simplePos="0" relativeHeight="251657728" behindDoc="1" locked="0" layoutInCell="1" allowOverlap="1" wp14:anchorId="5BA5470D" wp14:editId="6EA3AD97">
            <wp:simplePos x="0" y="0"/>
            <wp:positionH relativeFrom="column">
              <wp:posOffset>1533525</wp:posOffset>
            </wp:positionH>
            <wp:positionV relativeFrom="paragraph">
              <wp:posOffset>111125</wp:posOffset>
            </wp:positionV>
            <wp:extent cx="1591409" cy="838200"/>
            <wp:effectExtent l="0" t="0" r="889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izlogo_unternehmen-en-implemented-rgb.g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91409" cy="838200"/>
                    </a:xfrm>
                    <a:prstGeom prst="rect">
                      <a:avLst/>
                    </a:prstGeom>
                  </pic:spPr>
                </pic:pic>
              </a:graphicData>
            </a:graphic>
            <wp14:sizeRelH relativeFrom="page">
              <wp14:pctWidth>0</wp14:pctWidth>
            </wp14:sizeRelH>
            <wp14:sizeRelV relativeFrom="page">
              <wp14:pctHeight>0</wp14:pctHeight>
            </wp14:sizeRelV>
          </wp:anchor>
        </w:drawing>
      </w:r>
    </w:p>
    <w:p w:rsidR="002151B6" w:rsidRPr="00F31A94" w:rsidRDefault="002151B6" w:rsidP="002151B6">
      <w:pPr>
        <w:rPr>
          <w:rFonts w:ascii="Arial" w:hAnsi="Arial" w:cs="Arial"/>
        </w:rPr>
      </w:pPr>
    </w:p>
    <w:p w:rsidR="002151B6" w:rsidRPr="00F31A94" w:rsidRDefault="002151B6" w:rsidP="002151B6">
      <w:pPr>
        <w:rPr>
          <w:rFonts w:cs="Arial"/>
        </w:rPr>
      </w:pPr>
    </w:p>
    <w:p w:rsidR="002151B6" w:rsidRPr="007E5CD2" w:rsidRDefault="002151B6" w:rsidP="002151B6">
      <w:pPr>
        <w:rPr>
          <w:rFonts w:cs="Arial"/>
        </w:rPr>
      </w:pPr>
      <w:r>
        <w:rPr>
          <w:rFonts w:ascii="Arial" w:hAnsi="Arial"/>
        </w:rPr>
        <w:t>© GIZ et FAO, 2017</w:t>
      </w:r>
      <w:r>
        <w:br w:type="page"/>
      </w:r>
    </w:p>
    <w:p w:rsidR="00B61451" w:rsidRPr="004C07EF" w:rsidRDefault="004C07EF" w:rsidP="00322AFF">
      <w:pPr>
        <w:overflowPunct/>
        <w:textAlignment w:val="auto"/>
        <w:rPr>
          <w:b/>
          <w:color w:val="9EA231"/>
          <w:sz w:val="24"/>
          <w:szCs w:val="28"/>
        </w:rPr>
      </w:pPr>
      <w:r>
        <w:rPr>
          <w:b/>
          <w:color w:val="9EA231"/>
          <w:sz w:val="24"/>
          <w:szCs w:val="28"/>
        </w:rPr>
        <w:lastRenderedPageBreak/>
        <w:t xml:space="preserve">PROMOTION – Évaluation rapide des </w:t>
      </w:r>
      <w:r w:rsidR="006600F1">
        <w:rPr>
          <w:b/>
          <w:color w:val="9EA231"/>
          <w:sz w:val="24"/>
          <w:szCs w:val="28"/>
        </w:rPr>
        <w:t>SPIS</w:t>
      </w:r>
    </w:p>
    <w:p w:rsidR="003071B3" w:rsidRPr="00F31A94" w:rsidRDefault="003071B3" w:rsidP="00322AFF">
      <w:pPr>
        <w:overflowPunct/>
        <w:textAlignment w:val="auto"/>
        <w:rPr>
          <w:rFonts w:cstheme="minorHAnsi"/>
        </w:rPr>
      </w:pPr>
    </w:p>
    <w:p w:rsidR="003071B3" w:rsidRDefault="00C34EA3" w:rsidP="00322AFF">
      <w:pPr>
        <w:overflowPunct/>
        <w:textAlignment w:val="auto"/>
        <w:rPr>
          <w:rFonts w:cstheme="minorHAnsi"/>
        </w:rPr>
      </w:pPr>
      <w:r>
        <w:t xml:space="preserve">Cet outil permet de compiler un bref rapport fondé sur une évaluation rapide des avantages et des inconvénients des </w:t>
      </w:r>
      <w:r w:rsidR="006600F1">
        <w:t>SPIS</w:t>
      </w:r>
      <w:r>
        <w:t xml:space="preserve"> dans le pays et/ou dans la région du projet. Le sommaire ci-dessous sert de guide pour la rédaction de ce rapport, qui doit contenir 10 à 15 pages au total.</w:t>
      </w:r>
    </w:p>
    <w:p w:rsidR="003071B3" w:rsidRPr="00F31A94" w:rsidRDefault="003071B3" w:rsidP="00322AFF">
      <w:pPr>
        <w:overflowPunct/>
        <w:textAlignment w:val="auto"/>
        <w:rPr>
          <w:rFonts w:cstheme="minorHAnsi"/>
        </w:rPr>
      </w:pPr>
    </w:p>
    <w:tbl>
      <w:tblPr>
        <w:tblW w:w="0" w:type="auto"/>
        <w:tblBorders>
          <w:top w:val="single" w:sz="4" w:space="0" w:color="9EA231"/>
          <w:left w:val="single" w:sz="4" w:space="0" w:color="9EA231"/>
          <w:bottom w:val="single" w:sz="4" w:space="0" w:color="9EA231"/>
          <w:right w:val="single" w:sz="4" w:space="0" w:color="9EA231"/>
          <w:insideH w:val="single" w:sz="4" w:space="0" w:color="9EA231"/>
          <w:insideV w:val="single" w:sz="4" w:space="0" w:color="9EA231"/>
        </w:tblBorders>
        <w:tblLook w:val="0000" w:firstRow="0" w:lastRow="0" w:firstColumn="0" w:lastColumn="0" w:noHBand="0" w:noVBand="0"/>
      </w:tblPr>
      <w:tblGrid>
        <w:gridCol w:w="3592"/>
        <w:gridCol w:w="5740"/>
      </w:tblGrid>
      <w:tr w:rsidR="000F1CE7" w:rsidTr="00206D65">
        <w:trPr>
          <w:trHeight w:val="454"/>
          <w:tblHeader/>
        </w:trPr>
        <w:tc>
          <w:tcPr>
            <w:tcW w:w="3652" w:type="dxa"/>
            <w:shd w:val="clear" w:color="auto" w:fill="9EA231"/>
            <w:vAlign w:val="center"/>
          </w:tcPr>
          <w:p w:rsidR="0004747F" w:rsidRPr="003071B3" w:rsidRDefault="003071B3" w:rsidP="0004747F">
            <w:pPr>
              <w:spacing w:before="40" w:after="40"/>
              <w:jc w:val="left"/>
              <w:rPr>
                <w:b/>
                <w:color w:val="FFFFFF" w:themeColor="background1"/>
              </w:rPr>
            </w:pPr>
            <w:r>
              <w:rPr>
                <w:b/>
                <w:color w:val="FFFFFF" w:themeColor="background1"/>
              </w:rPr>
              <w:t>Chapitre/paragraphe</w:t>
            </w:r>
          </w:p>
        </w:tc>
        <w:tc>
          <w:tcPr>
            <w:tcW w:w="5874" w:type="dxa"/>
            <w:shd w:val="clear" w:color="auto" w:fill="9EA231"/>
            <w:vAlign w:val="center"/>
          </w:tcPr>
          <w:p w:rsidR="000F1CE7" w:rsidRPr="003071B3" w:rsidRDefault="003071B3" w:rsidP="0004747F">
            <w:pPr>
              <w:spacing w:before="40" w:after="40"/>
              <w:jc w:val="left"/>
              <w:rPr>
                <w:b/>
                <w:color w:val="FFFFFF" w:themeColor="background1"/>
              </w:rPr>
            </w:pPr>
            <w:r>
              <w:rPr>
                <w:b/>
                <w:color w:val="FFFFFF" w:themeColor="background1"/>
              </w:rPr>
              <w:t>Courte description</w:t>
            </w:r>
          </w:p>
        </w:tc>
      </w:tr>
      <w:tr w:rsidR="003071B3" w:rsidRPr="00354F43" w:rsidTr="00206D65">
        <w:trPr>
          <w:trHeight w:val="454"/>
        </w:trPr>
        <w:tc>
          <w:tcPr>
            <w:tcW w:w="3652" w:type="dxa"/>
            <w:vAlign w:val="center"/>
          </w:tcPr>
          <w:p w:rsidR="003071B3" w:rsidRPr="003071B3" w:rsidRDefault="003071B3" w:rsidP="003071B3">
            <w:pPr>
              <w:pStyle w:val="ListParagraph"/>
              <w:numPr>
                <w:ilvl w:val="0"/>
                <w:numId w:val="39"/>
              </w:numPr>
              <w:spacing w:before="40" w:after="40"/>
              <w:ind w:left="567" w:hanging="567"/>
              <w:jc w:val="left"/>
              <w:rPr>
                <w:b/>
              </w:rPr>
            </w:pPr>
            <w:r>
              <w:rPr>
                <w:b/>
              </w:rPr>
              <w:t>Contexte</w:t>
            </w:r>
          </w:p>
        </w:tc>
        <w:tc>
          <w:tcPr>
            <w:tcW w:w="5874" w:type="dxa"/>
          </w:tcPr>
          <w:p w:rsidR="003071B3" w:rsidRDefault="003071B3" w:rsidP="003071B3">
            <w:pPr>
              <w:spacing w:before="40" w:after="40"/>
              <w:rPr>
                <w:rFonts w:cstheme="minorHAnsi"/>
                <w:i/>
              </w:rPr>
            </w:pPr>
            <w:r>
              <w:rPr>
                <w:i/>
              </w:rPr>
              <w:t>Ce chapitre a pour but de décrire la situation dans le pays/région du projet en matière d’agriculture irriguée, d’énergie solaire et de financement agricole, ces différents domaines étant évoqués de manière générale et indépendamment les uns des autres.</w:t>
            </w:r>
          </w:p>
          <w:p w:rsidR="00033E1B" w:rsidRPr="003071B3" w:rsidRDefault="00033E1B" w:rsidP="00033E1B">
            <w:pPr>
              <w:spacing w:before="40" w:after="40"/>
              <w:rPr>
                <w:rFonts w:cstheme="minorHAnsi"/>
                <w:i/>
              </w:rPr>
            </w:pPr>
            <w:r>
              <w:rPr>
                <w:i/>
              </w:rPr>
              <w:t xml:space="preserve">Il est utile d’insérer une carte des région(s) décrites pour orienter le lecteur. </w:t>
            </w:r>
          </w:p>
        </w:tc>
      </w:tr>
      <w:tr w:rsidR="003071B3" w:rsidRPr="00354F43" w:rsidTr="00206D65">
        <w:trPr>
          <w:trHeight w:val="454"/>
        </w:trPr>
        <w:tc>
          <w:tcPr>
            <w:tcW w:w="3652" w:type="dxa"/>
            <w:vAlign w:val="center"/>
          </w:tcPr>
          <w:p w:rsidR="003071B3" w:rsidRPr="003071B3" w:rsidRDefault="003071B3" w:rsidP="003071B3">
            <w:pPr>
              <w:pStyle w:val="ListParagraph"/>
              <w:numPr>
                <w:ilvl w:val="0"/>
                <w:numId w:val="40"/>
              </w:numPr>
              <w:spacing w:before="40" w:after="40"/>
              <w:ind w:hanging="720"/>
              <w:jc w:val="left"/>
            </w:pPr>
            <w:r>
              <w:t>Agriculture irriguée</w:t>
            </w:r>
          </w:p>
        </w:tc>
        <w:tc>
          <w:tcPr>
            <w:tcW w:w="5874" w:type="dxa"/>
          </w:tcPr>
          <w:p w:rsidR="003071B3" w:rsidRPr="003071B3" w:rsidRDefault="003071B3" w:rsidP="00E905A8">
            <w:pPr>
              <w:pStyle w:val="ListParagraph"/>
              <w:numPr>
                <w:ilvl w:val="0"/>
                <w:numId w:val="38"/>
              </w:numPr>
              <w:spacing w:before="40" w:after="40"/>
              <w:ind w:left="318" w:hanging="219"/>
              <w:jc w:val="left"/>
              <w:rPr>
                <w:rFonts w:cstheme="minorHAnsi"/>
              </w:rPr>
            </w:pPr>
            <w:r>
              <w:t>Zones importantes pour l’irrigation, description des technologies présentes dans le pays</w:t>
            </w:r>
          </w:p>
          <w:p w:rsidR="003071B3" w:rsidRPr="003071B3" w:rsidRDefault="00E905A8" w:rsidP="00E905A8">
            <w:pPr>
              <w:pStyle w:val="ListParagraph"/>
              <w:numPr>
                <w:ilvl w:val="0"/>
                <w:numId w:val="38"/>
              </w:numPr>
              <w:spacing w:before="40" w:after="40"/>
              <w:ind w:left="318" w:hanging="219"/>
              <w:jc w:val="left"/>
              <w:rPr>
                <w:rFonts w:cstheme="minorHAnsi"/>
              </w:rPr>
            </w:pPr>
            <w:r>
              <w:t>Pertinence de l’agriculture irriguée par rapport à l’agriculture pluviale ; analyse économique</w:t>
            </w:r>
          </w:p>
          <w:p w:rsidR="003071B3" w:rsidRPr="003071B3" w:rsidRDefault="003071B3" w:rsidP="00E905A8">
            <w:pPr>
              <w:pStyle w:val="ListParagraph"/>
              <w:numPr>
                <w:ilvl w:val="0"/>
                <w:numId w:val="38"/>
              </w:numPr>
              <w:spacing w:before="40" w:after="40"/>
              <w:ind w:left="318" w:hanging="219"/>
              <w:jc w:val="left"/>
              <w:rPr>
                <w:rFonts w:cstheme="minorHAnsi"/>
              </w:rPr>
            </w:pPr>
            <w:r>
              <w:t xml:space="preserve">Politiques et stratégies </w:t>
            </w:r>
            <w:r w:rsidR="005F5465">
              <w:t xml:space="preserve">pertinentes </w:t>
            </w:r>
            <w:r>
              <w:t>qui encouragent l’irrigation</w:t>
            </w:r>
          </w:p>
        </w:tc>
      </w:tr>
      <w:tr w:rsidR="003071B3" w:rsidRPr="00354F43" w:rsidTr="00206D65">
        <w:trPr>
          <w:trHeight w:val="454"/>
        </w:trPr>
        <w:tc>
          <w:tcPr>
            <w:tcW w:w="3652" w:type="dxa"/>
            <w:vAlign w:val="center"/>
          </w:tcPr>
          <w:p w:rsidR="003071B3" w:rsidRPr="003071B3" w:rsidRDefault="003071B3" w:rsidP="003071B3">
            <w:pPr>
              <w:pStyle w:val="ListParagraph"/>
              <w:numPr>
                <w:ilvl w:val="1"/>
                <w:numId w:val="39"/>
              </w:numPr>
              <w:spacing w:before="40" w:after="40"/>
              <w:ind w:hanging="720"/>
              <w:jc w:val="left"/>
            </w:pPr>
            <w:r>
              <w:t>Énergie solaire</w:t>
            </w:r>
          </w:p>
        </w:tc>
        <w:tc>
          <w:tcPr>
            <w:tcW w:w="5874" w:type="dxa"/>
          </w:tcPr>
          <w:p w:rsidR="003071B3" w:rsidRPr="003071B3" w:rsidRDefault="003071B3" w:rsidP="00E905A8">
            <w:pPr>
              <w:pStyle w:val="ListParagraph"/>
              <w:numPr>
                <w:ilvl w:val="0"/>
                <w:numId w:val="38"/>
              </w:numPr>
              <w:spacing w:before="40" w:after="40"/>
              <w:ind w:left="318" w:hanging="219"/>
              <w:jc w:val="left"/>
              <w:rPr>
                <w:rFonts w:cstheme="minorHAnsi"/>
              </w:rPr>
            </w:pPr>
            <w:r>
              <w:t>Zones importantes pour l’énergie solaire, description des technologies présentes dans le pays</w:t>
            </w:r>
          </w:p>
          <w:p w:rsidR="003071B3" w:rsidRPr="003071B3" w:rsidRDefault="00E905A8" w:rsidP="00E905A8">
            <w:pPr>
              <w:pStyle w:val="ListParagraph"/>
              <w:numPr>
                <w:ilvl w:val="0"/>
                <w:numId w:val="38"/>
              </w:numPr>
              <w:spacing w:before="40" w:after="40"/>
              <w:ind w:left="318" w:hanging="219"/>
              <w:jc w:val="left"/>
              <w:rPr>
                <w:rFonts w:cstheme="minorHAnsi"/>
              </w:rPr>
            </w:pPr>
            <w:r>
              <w:t>Pertinence de l’énergie solaire par rapport à d’autres énergies renouvelables et par rapport aux énergies non renouvelables ; analyse économique</w:t>
            </w:r>
          </w:p>
          <w:p w:rsidR="003071B3" w:rsidRPr="003071B3" w:rsidRDefault="00C34EA3" w:rsidP="00E905A8">
            <w:pPr>
              <w:pStyle w:val="ListParagraph"/>
              <w:numPr>
                <w:ilvl w:val="0"/>
                <w:numId w:val="38"/>
              </w:numPr>
              <w:spacing w:before="40" w:after="40"/>
              <w:ind w:left="318" w:hanging="219"/>
              <w:jc w:val="left"/>
              <w:rPr>
                <w:rFonts w:cstheme="minorHAnsi"/>
              </w:rPr>
            </w:pPr>
            <w:r>
              <w:t xml:space="preserve">Politiques et stratégies </w:t>
            </w:r>
            <w:r w:rsidR="00CC6F5A">
              <w:t xml:space="preserve">pertinentes </w:t>
            </w:r>
            <w:r>
              <w:t>qui encouragent l’énergie solaire</w:t>
            </w:r>
          </w:p>
        </w:tc>
      </w:tr>
      <w:tr w:rsidR="003071B3" w:rsidRPr="00354F43" w:rsidTr="00206D65">
        <w:trPr>
          <w:trHeight w:val="454"/>
        </w:trPr>
        <w:tc>
          <w:tcPr>
            <w:tcW w:w="3652" w:type="dxa"/>
            <w:vAlign w:val="center"/>
          </w:tcPr>
          <w:p w:rsidR="003071B3" w:rsidRPr="003071B3" w:rsidRDefault="003071B3" w:rsidP="003071B3">
            <w:pPr>
              <w:pStyle w:val="ListParagraph"/>
              <w:numPr>
                <w:ilvl w:val="1"/>
                <w:numId w:val="39"/>
              </w:numPr>
              <w:spacing w:before="40" w:after="40"/>
              <w:ind w:hanging="720"/>
              <w:jc w:val="left"/>
            </w:pPr>
            <w:r>
              <w:t>Services financiers pour l’agriculture et l’énergie</w:t>
            </w:r>
          </w:p>
        </w:tc>
        <w:tc>
          <w:tcPr>
            <w:tcW w:w="5874" w:type="dxa"/>
          </w:tcPr>
          <w:p w:rsidR="003071B3" w:rsidRPr="003071B3" w:rsidRDefault="003071B3" w:rsidP="00E905A8">
            <w:pPr>
              <w:pStyle w:val="ListParagraph"/>
              <w:numPr>
                <w:ilvl w:val="0"/>
                <w:numId w:val="38"/>
              </w:numPr>
              <w:spacing w:before="40" w:after="40"/>
              <w:ind w:left="318" w:hanging="219"/>
              <w:jc w:val="left"/>
              <w:rPr>
                <w:rFonts w:cstheme="minorHAnsi"/>
              </w:rPr>
            </w:pPr>
            <w:r>
              <w:t>Statu quo sur l’accès à des financements pour l’agriculture, description des produits financiers disponibles dans le pays</w:t>
            </w:r>
          </w:p>
          <w:p w:rsidR="003071B3" w:rsidRPr="003071B3" w:rsidRDefault="003071B3" w:rsidP="00E905A8">
            <w:pPr>
              <w:pStyle w:val="ListParagraph"/>
              <w:numPr>
                <w:ilvl w:val="0"/>
                <w:numId w:val="38"/>
              </w:numPr>
              <w:spacing w:before="40" w:after="40"/>
              <w:ind w:left="318" w:hanging="219"/>
              <w:jc w:val="left"/>
              <w:rPr>
                <w:rFonts w:cstheme="minorHAnsi"/>
              </w:rPr>
            </w:pPr>
            <w:r>
              <w:t>Statu quo sur l’accès à des financements pour l’énergie renouvelable (hors réseau), description des produits financiers disponibles dans le pays</w:t>
            </w:r>
          </w:p>
          <w:p w:rsidR="003071B3" w:rsidRPr="00D01247" w:rsidRDefault="00C34EA3" w:rsidP="00E905A8">
            <w:pPr>
              <w:pStyle w:val="ListParagraph"/>
              <w:numPr>
                <w:ilvl w:val="0"/>
                <w:numId w:val="38"/>
              </w:numPr>
              <w:spacing w:before="40" w:after="40"/>
              <w:ind w:left="318" w:hanging="219"/>
              <w:jc w:val="left"/>
              <w:rPr>
                <w:rFonts w:cstheme="minorHAnsi"/>
              </w:rPr>
            </w:pPr>
            <w:r>
              <w:t>Politiques et stratégies</w:t>
            </w:r>
            <w:r w:rsidR="00CC6F5A">
              <w:t xml:space="preserve"> pertinentes</w:t>
            </w:r>
            <w:r>
              <w:t xml:space="preserve"> qui encouragent l’utilisation de services financiers pour l’agriculture et/ou l’énergie solaire</w:t>
            </w:r>
          </w:p>
        </w:tc>
      </w:tr>
      <w:tr w:rsidR="003071B3" w:rsidRPr="00131194" w:rsidTr="00206D65">
        <w:trPr>
          <w:trHeight w:val="454"/>
        </w:trPr>
        <w:tc>
          <w:tcPr>
            <w:tcW w:w="3652" w:type="dxa"/>
            <w:vAlign w:val="center"/>
          </w:tcPr>
          <w:p w:rsidR="003071B3" w:rsidRPr="003071B3" w:rsidRDefault="003071B3" w:rsidP="003071B3">
            <w:pPr>
              <w:pStyle w:val="ListParagraph"/>
              <w:numPr>
                <w:ilvl w:val="0"/>
                <w:numId w:val="39"/>
              </w:numPr>
              <w:spacing w:before="40" w:after="40"/>
              <w:ind w:hanging="720"/>
              <w:jc w:val="left"/>
              <w:rPr>
                <w:b/>
              </w:rPr>
            </w:pPr>
            <w:r>
              <w:rPr>
                <w:b/>
              </w:rPr>
              <w:t>Potentiel et opportunités de mise en place</w:t>
            </w:r>
            <w:r w:rsidR="00CC6F5A">
              <w:rPr>
                <w:b/>
              </w:rPr>
              <w:t>/pour</w:t>
            </w:r>
            <w:r>
              <w:rPr>
                <w:b/>
              </w:rPr>
              <w:t xml:space="preserve"> de </w:t>
            </w:r>
            <w:r w:rsidR="006600F1">
              <w:rPr>
                <w:b/>
              </w:rPr>
              <w:t>SPIS</w:t>
            </w:r>
          </w:p>
        </w:tc>
        <w:tc>
          <w:tcPr>
            <w:tcW w:w="5874" w:type="dxa"/>
          </w:tcPr>
          <w:p w:rsidR="003071B3" w:rsidRPr="00131194" w:rsidRDefault="00131194" w:rsidP="003071B3">
            <w:pPr>
              <w:spacing w:before="40" w:after="40"/>
              <w:rPr>
                <w:rFonts w:cstheme="minorHAnsi"/>
                <w:i/>
              </w:rPr>
            </w:pPr>
            <w:r>
              <w:rPr>
                <w:i/>
              </w:rPr>
              <w:t>Ce chapitre a pour but de décrire la situation dans le pays/</w:t>
            </w:r>
            <w:r w:rsidR="0046719D">
              <w:rPr>
                <w:i/>
              </w:rPr>
              <w:t xml:space="preserve"> la </w:t>
            </w:r>
            <w:r>
              <w:rPr>
                <w:i/>
              </w:rPr>
              <w:t xml:space="preserve">région du projet lorsque l’énergie solaire est utilisée pour l’agriculture. Il fournit une description des technologies et des mécanismes de financement et de promotion existants </w:t>
            </w:r>
          </w:p>
        </w:tc>
      </w:tr>
      <w:tr w:rsidR="003071B3" w:rsidRPr="00354F43" w:rsidTr="00206D65">
        <w:trPr>
          <w:trHeight w:val="454"/>
        </w:trPr>
        <w:tc>
          <w:tcPr>
            <w:tcW w:w="3652" w:type="dxa"/>
            <w:vAlign w:val="center"/>
          </w:tcPr>
          <w:p w:rsidR="003071B3" w:rsidRPr="00D90CA2" w:rsidRDefault="003071B3" w:rsidP="00D90CA2">
            <w:pPr>
              <w:pStyle w:val="ListParagraph"/>
              <w:numPr>
                <w:ilvl w:val="0"/>
                <w:numId w:val="40"/>
              </w:numPr>
              <w:spacing w:before="40" w:after="40"/>
              <w:ind w:hanging="720"/>
              <w:jc w:val="left"/>
            </w:pPr>
            <w:r>
              <w:t xml:space="preserve">Expérience relative aux </w:t>
            </w:r>
            <w:r w:rsidR="006600F1">
              <w:t>SPIS</w:t>
            </w:r>
            <w:r>
              <w:t xml:space="preserve"> dans le pays</w:t>
            </w:r>
          </w:p>
        </w:tc>
        <w:tc>
          <w:tcPr>
            <w:tcW w:w="5874" w:type="dxa"/>
          </w:tcPr>
          <w:p w:rsidR="003071B3" w:rsidRPr="003071B3" w:rsidRDefault="003071B3" w:rsidP="003071B3">
            <w:pPr>
              <w:spacing w:before="40" w:after="40"/>
              <w:rPr>
                <w:rFonts w:cstheme="minorHAnsi"/>
              </w:rPr>
            </w:pPr>
            <w:r>
              <w:t xml:space="preserve">Expérience relative à </w:t>
            </w:r>
            <w:r w:rsidR="00337928">
              <w:t>l’utilisation</w:t>
            </w:r>
            <w:r>
              <w:t xml:space="preserve"> de l’énergie solaire pour l’irrigation dans le pays </w:t>
            </w:r>
          </w:p>
          <w:p w:rsidR="003071B3" w:rsidRPr="003071B3" w:rsidRDefault="003071B3" w:rsidP="003071B3">
            <w:pPr>
              <w:pStyle w:val="ListParagraph"/>
              <w:numPr>
                <w:ilvl w:val="0"/>
                <w:numId w:val="38"/>
              </w:numPr>
              <w:spacing w:before="40" w:after="40"/>
              <w:ind w:left="318" w:hanging="219"/>
              <w:rPr>
                <w:rFonts w:cstheme="minorHAnsi"/>
              </w:rPr>
            </w:pPr>
            <w:r>
              <w:t xml:space="preserve">Technologie : exemples de </w:t>
            </w:r>
            <w:r w:rsidR="006600F1">
              <w:t>SPIS</w:t>
            </w:r>
            <w:r>
              <w:t xml:space="preserve"> (taille, technologie, depuis quand, etc.)</w:t>
            </w:r>
          </w:p>
          <w:p w:rsidR="003071B3" w:rsidRPr="003071B3" w:rsidRDefault="003071B3" w:rsidP="003071B3">
            <w:pPr>
              <w:pStyle w:val="ListParagraph"/>
              <w:numPr>
                <w:ilvl w:val="0"/>
                <w:numId w:val="38"/>
              </w:numPr>
              <w:spacing w:before="40" w:after="40"/>
              <w:ind w:left="318" w:hanging="219"/>
              <w:rPr>
                <w:rFonts w:cstheme="minorHAnsi"/>
              </w:rPr>
            </w:pPr>
            <w:r>
              <w:t>Disponibilité : quelles options technologiques sont disponibles ? Combien coûtent-elles ?</w:t>
            </w:r>
          </w:p>
          <w:p w:rsidR="003071B3" w:rsidRPr="003071B3" w:rsidRDefault="003071B3" w:rsidP="00267EAE">
            <w:pPr>
              <w:pStyle w:val="ListParagraph"/>
              <w:numPr>
                <w:ilvl w:val="0"/>
                <w:numId w:val="38"/>
              </w:numPr>
              <w:spacing w:before="40" w:after="40"/>
              <w:ind w:left="318" w:hanging="219"/>
              <w:rPr>
                <w:rFonts w:cstheme="minorHAnsi"/>
              </w:rPr>
            </w:pPr>
            <w:r>
              <w:t xml:space="preserve">Les </w:t>
            </w:r>
            <w:r w:rsidR="006600F1">
              <w:t>SPIS</w:t>
            </w:r>
            <w:r>
              <w:t xml:space="preserve"> sont-ils concentrés dans une zone géographique particulière du pays ?</w:t>
            </w:r>
          </w:p>
        </w:tc>
      </w:tr>
      <w:tr w:rsidR="003071B3" w:rsidRPr="00354F43" w:rsidTr="00206D65">
        <w:trPr>
          <w:trHeight w:val="454"/>
        </w:trPr>
        <w:tc>
          <w:tcPr>
            <w:tcW w:w="3652" w:type="dxa"/>
            <w:vAlign w:val="center"/>
          </w:tcPr>
          <w:p w:rsidR="003071B3" w:rsidRPr="00D90CA2" w:rsidRDefault="003071B3" w:rsidP="00D90CA2">
            <w:pPr>
              <w:pStyle w:val="ListParagraph"/>
              <w:numPr>
                <w:ilvl w:val="1"/>
                <w:numId w:val="39"/>
              </w:numPr>
              <w:spacing w:before="40" w:after="40"/>
              <w:ind w:hanging="720"/>
              <w:jc w:val="left"/>
            </w:pPr>
            <w:r>
              <w:t>Acteurs du marché</w:t>
            </w:r>
          </w:p>
        </w:tc>
        <w:tc>
          <w:tcPr>
            <w:tcW w:w="5874" w:type="dxa"/>
          </w:tcPr>
          <w:p w:rsidR="003071B3" w:rsidRPr="00206D65" w:rsidRDefault="003071B3" w:rsidP="003071B3">
            <w:pPr>
              <w:spacing w:before="40" w:after="40"/>
              <w:rPr>
                <w:rFonts w:cstheme="minorHAnsi"/>
              </w:rPr>
            </w:pPr>
            <w:bookmarkStart w:id="1" w:name="_Toc418847043"/>
            <w:r>
              <w:t>Courte description de la qualité/quantité des fabricants</w:t>
            </w:r>
            <w:bookmarkStart w:id="2" w:name="_Toc418847044"/>
            <w:bookmarkEnd w:id="1"/>
            <w:r>
              <w:t>, des principaux distributeurs de technologies</w:t>
            </w:r>
            <w:bookmarkStart w:id="3" w:name="_Toc418847045"/>
            <w:bookmarkEnd w:id="2"/>
            <w:r>
              <w:t xml:space="preserve">, des </w:t>
            </w:r>
            <w:r>
              <w:lastRenderedPageBreak/>
              <w:t>prestataires de services publics/privés</w:t>
            </w:r>
            <w:bookmarkEnd w:id="3"/>
            <w:r>
              <w:t xml:space="preserve"> concernés dans le pays/région du projet </w:t>
            </w:r>
          </w:p>
        </w:tc>
      </w:tr>
      <w:tr w:rsidR="003071B3" w:rsidRPr="00354F43" w:rsidTr="00206D65">
        <w:trPr>
          <w:trHeight w:val="454"/>
        </w:trPr>
        <w:tc>
          <w:tcPr>
            <w:tcW w:w="3652" w:type="dxa"/>
            <w:vAlign w:val="center"/>
          </w:tcPr>
          <w:p w:rsidR="003071B3" w:rsidRPr="004F62D6" w:rsidRDefault="003071B3" w:rsidP="004F62D6">
            <w:pPr>
              <w:pStyle w:val="ListParagraph"/>
              <w:numPr>
                <w:ilvl w:val="0"/>
                <w:numId w:val="39"/>
              </w:numPr>
              <w:spacing w:before="40" w:after="40"/>
              <w:ind w:hanging="720"/>
              <w:jc w:val="left"/>
            </w:pPr>
            <w:r>
              <w:rPr>
                <w:b/>
              </w:rPr>
              <w:lastRenderedPageBreak/>
              <w:t xml:space="preserve">Promotion des </w:t>
            </w:r>
            <w:r w:rsidR="006600F1">
              <w:rPr>
                <w:b/>
              </w:rPr>
              <w:t>SPIS</w:t>
            </w:r>
            <w:r>
              <w:rPr>
                <w:b/>
              </w:rPr>
              <w:t xml:space="preserve"> dans le pays</w:t>
            </w:r>
          </w:p>
        </w:tc>
        <w:tc>
          <w:tcPr>
            <w:tcW w:w="5874" w:type="dxa"/>
            <w:vAlign w:val="center"/>
          </w:tcPr>
          <w:p w:rsidR="003071B3" w:rsidRPr="00F31A94" w:rsidRDefault="003071B3" w:rsidP="0004747F">
            <w:pPr>
              <w:spacing w:before="40" w:after="40"/>
              <w:jc w:val="left"/>
            </w:pPr>
          </w:p>
        </w:tc>
      </w:tr>
      <w:tr w:rsidR="003071B3" w:rsidRPr="00354F43" w:rsidTr="00206D65">
        <w:trPr>
          <w:trHeight w:val="454"/>
        </w:trPr>
        <w:tc>
          <w:tcPr>
            <w:tcW w:w="3652" w:type="dxa"/>
            <w:vAlign w:val="center"/>
          </w:tcPr>
          <w:p w:rsidR="003071B3" w:rsidRPr="00267EAE" w:rsidRDefault="003071B3" w:rsidP="00267EAE">
            <w:pPr>
              <w:pStyle w:val="ListParagraph"/>
              <w:numPr>
                <w:ilvl w:val="1"/>
                <w:numId w:val="44"/>
              </w:numPr>
              <w:spacing w:before="40" w:after="40"/>
              <w:ind w:hanging="720"/>
              <w:jc w:val="left"/>
            </w:pPr>
            <w:r>
              <w:t xml:space="preserve">Promotion des </w:t>
            </w:r>
            <w:r w:rsidR="006600F1">
              <w:t>SPIS</w:t>
            </w:r>
            <w:r>
              <w:t xml:space="preserve"> dans le pays par le gouvernement</w:t>
            </w:r>
          </w:p>
        </w:tc>
        <w:tc>
          <w:tcPr>
            <w:tcW w:w="5874" w:type="dxa"/>
            <w:vAlign w:val="center"/>
          </w:tcPr>
          <w:p w:rsidR="003071B3" w:rsidRPr="00267EAE" w:rsidRDefault="003071B3" w:rsidP="00267EAE">
            <w:pPr>
              <w:pStyle w:val="ListParagraph"/>
              <w:numPr>
                <w:ilvl w:val="0"/>
                <w:numId w:val="38"/>
              </w:numPr>
              <w:spacing w:before="40" w:after="40"/>
              <w:ind w:left="318" w:hanging="219"/>
              <w:rPr>
                <w:rFonts w:cstheme="minorHAnsi"/>
              </w:rPr>
            </w:pPr>
            <w:r>
              <w:t xml:space="preserve">Promotion des </w:t>
            </w:r>
            <w:r w:rsidR="006600F1">
              <w:t>SPIS</w:t>
            </w:r>
            <w:r>
              <w:t xml:space="preserve"> par les principaux instituts au niveau national/dans la région du projet</w:t>
            </w:r>
          </w:p>
          <w:p w:rsidR="003071B3" w:rsidRPr="003071B3" w:rsidRDefault="003071B3" w:rsidP="008611BE">
            <w:pPr>
              <w:pStyle w:val="ListParagraph"/>
              <w:numPr>
                <w:ilvl w:val="0"/>
                <w:numId w:val="38"/>
              </w:numPr>
              <w:spacing w:before="40" w:after="40"/>
              <w:ind w:left="321" w:hanging="218"/>
            </w:pPr>
            <w:r>
              <w:t xml:space="preserve">Subventions, taxes et autres incitations que le gouvernement utilise pour </w:t>
            </w:r>
            <w:r w:rsidR="004B59A4" w:rsidRPr="004B59A4">
              <w:t xml:space="preserve">en faire </w:t>
            </w:r>
            <w:r>
              <w:t>la promotion</w:t>
            </w:r>
          </w:p>
        </w:tc>
      </w:tr>
      <w:tr w:rsidR="003071B3" w:rsidRPr="00354F43" w:rsidTr="00206D65">
        <w:trPr>
          <w:trHeight w:val="454"/>
        </w:trPr>
        <w:tc>
          <w:tcPr>
            <w:tcW w:w="3652" w:type="dxa"/>
            <w:vAlign w:val="center"/>
          </w:tcPr>
          <w:p w:rsidR="003071B3" w:rsidRDefault="003071B3" w:rsidP="00267EAE">
            <w:pPr>
              <w:pStyle w:val="ListParagraph"/>
              <w:numPr>
                <w:ilvl w:val="1"/>
                <w:numId w:val="44"/>
              </w:numPr>
              <w:spacing w:before="40" w:after="40"/>
              <w:ind w:hanging="720"/>
              <w:jc w:val="left"/>
            </w:pPr>
            <w:r>
              <w:t xml:space="preserve">Promotion des </w:t>
            </w:r>
            <w:r w:rsidR="006600F1">
              <w:t>SPIS</w:t>
            </w:r>
            <w:r>
              <w:t xml:space="preserve"> dans le pays par les donateurs et autres parties prenantes</w:t>
            </w:r>
          </w:p>
        </w:tc>
        <w:tc>
          <w:tcPr>
            <w:tcW w:w="5874" w:type="dxa"/>
            <w:vAlign w:val="center"/>
          </w:tcPr>
          <w:p w:rsidR="003071B3" w:rsidRPr="003071B3" w:rsidRDefault="00C34EA3" w:rsidP="00C34EA3">
            <w:pPr>
              <w:spacing w:before="40" w:after="40"/>
              <w:jc w:val="left"/>
            </w:pPr>
            <w:r>
              <w:t xml:space="preserve">Brève énumération et description des financements, compétences ou services de conseil liés aux </w:t>
            </w:r>
            <w:r w:rsidR="006600F1">
              <w:t>SPIS</w:t>
            </w:r>
            <w:r>
              <w:t xml:space="preserve"> </w:t>
            </w:r>
            <w:r w:rsidR="00232823">
              <w:t>proposés</w:t>
            </w:r>
            <w:r>
              <w:t xml:space="preserve"> par des ONG, des établissements de formation/éducation ou des projets de donateurs </w:t>
            </w:r>
          </w:p>
        </w:tc>
      </w:tr>
      <w:tr w:rsidR="003071B3" w:rsidTr="00206D65">
        <w:trPr>
          <w:trHeight w:val="454"/>
        </w:trPr>
        <w:tc>
          <w:tcPr>
            <w:tcW w:w="3652" w:type="dxa"/>
            <w:vAlign w:val="center"/>
          </w:tcPr>
          <w:p w:rsidR="003071B3" w:rsidRDefault="003071B3" w:rsidP="00267EAE">
            <w:pPr>
              <w:pStyle w:val="ListParagraph"/>
              <w:numPr>
                <w:ilvl w:val="0"/>
                <w:numId w:val="39"/>
              </w:numPr>
              <w:spacing w:before="40" w:after="40"/>
              <w:ind w:hanging="720"/>
              <w:jc w:val="left"/>
            </w:pPr>
            <w:r>
              <w:rPr>
                <w:b/>
              </w:rPr>
              <w:t>Analyse SWOT</w:t>
            </w:r>
          </w:p>
        </w:tc>
        <w:tc>
          <w:tcPr>
            <w:tcW w:w="5874" w:type="dxa"/>
            <w:vAlign w:val="center"/>
          </w:tcPr>
          <w:p w:rsidR="003071B3" w:rsidRPr="003071B3" w:rsidRDefault="003071B3" w:rsidP="0004747F">
            <w:pPr>
              <w:spacing w:before="40" w:after="40"/>
              <w:jc w:val="left"/>
              <w:rPr>
                <w:lang w:val="en-GB"/>
              </w:rPr>
            </w:pPr>
          </w:p>
        </w:tc>
      </w:tr>
      <w:tr w:rsidR="003071B3" w:rsidRPr="00354F43" w:rsidTr="00206D65">
        <w:trPr>
          <w:trHeight w:val="454"/>
        </w:trPr>
        <w:tc>
          <w:tcPr>
            <w:tcW w:w="3652" w:type="dxa"/>
            <w:vAlign w:val="center"/>
          </w:tcPr>
          <w:p w:rsidR="003071B3" w:rsidRPr="00BB0376" w:rsidRDefault="003071B3" w:rsidP="00BB0376">
            <w:pPr>
              <w:pStyle w:val="ListParagraph"/>
              <w:numPr>
                <w:ilvl w:val="1"/>
                <w:numId w:val="46"/>
              </w:numPr>
              <w:spacing w:before="40" w:after="40"/>
              <w:ind w:hanging="786"/>
              <w:jc w:val="left"/>
            </w:pPr>
            <w:r>
              <w:t>Force</w:t>
            </w:r>
            <w:r w:rsidR="0046719D">
              <w:t>s</w:t>
            </w:r>
          </w:p>
        </w:tc>
        <w:tc>
          <w:tcPr>
            <w:tcW w:w="5874" w:type="dxa"/>
            <w:vAlign w:val="center"/>
          </w:tcPr>
          <w:p w:rsidR="00C34EA3" w:rsidRPr="00C34EA3" w:rsidRDefault="009B6501" w:rsidP="00C34EA3">
            <w:pPr>
              <w:pStyle w:val="ListParagraph"/>
              <w:numPr>
                <w:ilvl w:val="0"/>
                <w:numId w:val="38"/>
              </w:numPr>
              <w:spacing w:before="40" w:after="40"/>
              <w:ind w:left="318" w:hanging="219"/>
              <w:rPr>
                <w:rFonts w:cstheme="minorHAnsi"/>
              </w:rPr>
            </w:pPr>
            <w:r>
              <w:t xml:space="preserve">caractéristiques des </w:t>
            </w:r>
            <w:r w:rsidR="006600F1">
              <w:t>SPIS</w:t>
            </w:r>
            <w:r>
              <w:t xml:space="preserve"> qui leur confèrent un avantage par rapport à d’autres alternatives dans la région ciblée</w:t>
            </w:r>
          </w:p>
        </w:tc>
      </w:tr>
      <w:tr w:rsidR="003071B3" w:rsidRPr="00354F43" w:rsidTr="00206D65">
        <w:trPr>
          <w:trHeight w:val="454"/>
        </w:trPr>
        <w:tc>
          <w:tcPr>
            <w:tcW w:w="3652" w:type="dxa"/>
            <w:vAlign w:val="center"/>
          </w:tcPr>
          <w:p w:rsidR="003071B3" w:rsidRDefault="003071B3" w:rsidP="00BB0376">
            <w:pPr>
              <w:pStyle w:val="ListParagraph"/>
              <w:numPr>
                <w:ilvl w:val="1"/>
                <w:numId w:val="46"/>
              </w:numPr>
              <w:spacing w:before="40" w:after="40"/>
              <w:ind w:hanging="786"/>
              <w:jc w:val="left"/>
            </w:pPr>
            <w:r>
              <w:t>Faiblesses</w:t>
            </w:r>
          </w:p>
        </w:tc>
        <w:tc>
          <w:tcPr>
            <w:tcW w:w="5874" w:type="dxa"/>
            <w:vAlign w:val="center"/>
          </w:tcPr>
          <w:p w:rsidR="003071B3" w:rsidRPr="009B6501" w:rsidRDefault="009B6501" w:rsidP="009B6501">
            <w:pPr>
              <w:pStyle w:val="ListParagraph"/>
              <w:numPr>
                <w:ilvl w:val="0"/>
                <w:numId w:val="38"/>
              </w:numPr>
              <w:spacing w:before="40" w:after="40"/>
              <w:ind w:left="318" w:hanging="219"/>
              <w:rPr>
                <w:rFonts w:cstheme="minorHAnsi"/>
              </w:rPr>
            </w:pPr>
            <w:r>
              <w:t xml:space="preserve">caractéristiques des </w:t>
            </w:r>
            <w:r w:rsidR="006600F1">
              <w:t>SPIS</w:t>
            </w:r>
            <w:r>
              <w:t xml:space="preserve"> qui les désavantagent par rapport à d’autres alternatives dans la région ciblée</w:t>
            </w:r>
          </w:p>
        </w:tc>
      </w:tr>
      <w:tr w:rsidR="000F1CE7" w:rsidRPr="00354F43" w:rsidTr="00206D65">
        <w:trPr>
          <w:trHeight w:val="454"/>
        </w:trPr>
        <w:tc>
          <w:tcPr>
            <w:tcW w:w="3652" w:type="dxa"/>
            <w:vAlign w:val="center"/>
          </w:tcPr>
          <w:p w:rsidR="00475109" w:rsidRDefault="003071B3" w:rsidP="00BB0376">
            <w:pPr>
              <w:pStyle w:val="ListParagraph"/>
              <w:numPr>
                <w:ilvl w:val="1"/>
                <w:numId w:val="46"/>
              </w:numPr>
              <w:spacing w:before="40" w:after="40"/>
              <w:ind w:hanging="786"/>
              <w:jc w:val="left"/>
            </w:pPr>
            <w:r>
              <w:t>Opportunités</w:t>
            </w:r>
          </w:p>
        </w:tc>
        <w:tc>
          <w:tcPr>
            <w:tcW w:w="5874" w:type="dxa"/>
            <w:vAlign w:val="center"/>
          </w:tcPr>
          <w:p w:rsidR="00475109" w:rsidRPr="009B6501" w:rsidRDefault="009B6501" w:rsidP="009B6501">
            <w:pPr>
              <w:pStyle w:val="ListParagraph"/>
              <w:numPr>
                <w:ilvl w:val="0"/>
                <w:numId w:val="38"/>
              </w:numPr>
              <w:spacing w:before="40" w:after="40"/>
              <w:ind w:left="318" w:hanging="219"/>
              <w:rPr>
                <w:rFonts w:cstheme="minorHAnsi"/>
              </w:rPr>
            </w:pPr>
            <w:r>
              <w:t>éléments présents dans l’environnement qui sont susceptibles d’être exploit</w:t>
            </w:r>
            <w:r w:rsidR="00006968">
              <w:t>és</w:t>
            </w:r>
            <w:r>
              <w:t xml:space="preserve"> par les projets de </w:t>
            </w:r>
            <w:r w:rsidR="006600F1">
              <w:t>SPIS</w:t>
            </w:r>
            <w:r>
              <w:t xml:space="preserve"> à leur avantage</w:t>
            </w:r>
          </w:p>
        </w:tc>
      </w:tr>
      <w:tr w:rsidR="000F1CE7" w:rsidRPr="00354F43" w:rsidTr="00206D65">
        <w:trPr>
          <w:trHeight w:val="454"/>
        </w:trPr>
        <w:tc>
          <w:tcPr>
            <w:tcW w:w="3652" w:type="dxa"/>
            <w:vAlign w:val="center"/>
          </w:tcPr>
          <w:p w:rsidR="00475109" w:rsidRDefault="003071B3" w:rsidP="00BB0376">
            <w:pPr>
              <w:pStyle w:val="ListParagraph"/>
              <w:numPr>
                <w:ilvl w:val="1"/>
                <w:numId w:val="46"/>
              </w:numPr>
              <w:spacing w:before="40" w:after="40"/>
              <w:ind w:hanging="786"/>
              <w:jc w:val="left"/>
            </w:pPr>
            <w:r>
              <w:t>Risques</w:t>
            </w:r>
          </w:p>
        </w:tc>
        <w:tc>
          <w:tcPr>
            <w:tcW w:w="5874" w:type="dxa"/>
            <w:vAlign w:val="center"/>
          </w:tcPr>
          <w:p w:rsidR="000F1CE7" w:rsidRPr="009B6501" w:rsidRDefault="009B6501" w:rsidP="009B6501">
            <w:pPr>
              <w:pStyle w:val="ListParagraph"/>
              <w:numPr>
                <w:ilvl w:val="0"/>
                <w:numId w:val="38"/>
              </w:numPr>
              <w:spacing w:before="40" w:after="40"/>
              <w:ind w:left="318" w:hanging="219"/>
              <w:rPr>
                <w:rFonts w:cstheme="minorHAnsi"/>
              </w:rPr>
            </w:pPr>
            <w:r>
              <w:t xml:space="preserve">éléments présents dans l’environnement qui sont susceptibles de causer des problèmes à un projet de </w:t>
            </w:r>
            <w:r w:rsidR="006600F1">
              <w:t>SPIS</w:t>
            </w:r>
          </w:p>
        </w:tc>
      </w:tr>
      <w:tr w:rsidR="00C34EA3" w:rsidRPr="00354F43" w:rsidTr="00206D65">
        <w:trPr>
          <w:trHeight w:val="454"/>
        </w:trPr>
        <w:tc>
          <w:tcPr>
            <w:tcW w:w="3652" w:type="dxa"/>
            <w:vAlign w:val="center"/>
          </w:tcPr>
          <w:p w:rsidR="00C34EA3" w:rsidRPr="00C34EA3" w:rsidRDefault="00C34EA3" w:rsidP="00C34EA3">
            <w:pPr>
              <w:pStyle w:val="ListParagraph"/>
              <w:numPr>
                <w:ilvl w:val="0"/>
                <w:numId w:val="39"/>
              </w:numPr>
              <w:spacing w:before="40" w:after="40"/>
              <w:ind w:hanging="720"/>
              <w:jc w:val="left"/>
              <w:rPr>
                <w:b/>
              </w:rPr>
            </w:pPr>
            <w:r>
              <w:rPr>
                <w:b/>
              </w:rPr>
              <w:t>Conclusion</w:t>
            </w:r>
          </w:p>
        </w:tc>
        <w:tc>
          <w:tcPr>
            <w:tcW w:w="5874" w:type="dxa"/>
            <w:vAlign w:val="center"/>
          </w:tcPr>
          <w:p w:rsidR="00C34EA3" w:rsidRPr="00033E1B" w:rsidRDefault="00033E1B" w:rsidP="00033E1B">
            <w:pPr>
              <w:spacing w:before="40" w:after="40"/>
              <w:rPr>
                <w:rFonts w:cstheme="minorHAnsi"/>
                <w:i/>
              </w:rPr>
            </w:pPr>
            <w:r>
              <w:rPr>
                <w:i/>
              </w:rPr>
              <w:t xml:space="preserve">Résumez votre impression globale et apportez des recommandations en termes de potentiel et d’exigences de suivi </w:t>
            </w:r>
          </w:p>
        </w:tc>
      </w:tr>
      <w:tr w:rsidR="00C34EA3" w:rsidRPr="00354F43" w:rsidTr="00206D65">
        <w:trPr>
          <w:trHeight w:val="454"/>
        </w:trPr>
        <w:tc>
          <w:tcPr>
            <w:tcW w:w="3652" w:type="dxa"/>
            <w:vAlign w:val="center"/>
          </w:tcPr>
          <w:p w:rsidR="00C34EA3" w:rsidRPr="00C34EA3" w:rsidRDefault="00C34EA3" w:rsidP="00C34EA3">
            <w:pPr>
              <w:pStyle w:val="ListParagraph"/>
              <w:spacing w:before="40" w:after="40"/>
              <w:ind w:left="720" w:firstLine="0"/>
              <w:jc w:val="left"/>
            </w:pPr>
            <w:r>
              <w:rPr>
                <w:b/>
              </w:rPr>
              <w:t>Annexe : galerie photos</w:t>
            </w:r>
          </w:p>
        </w:tc>
        <w:tc>
          <w:tcPr>
            <w:tcW w:w="5874" w:type="dxa"/>
            <w:vAlign w:val="center"/>
          </w:tcPr>
          <w:p w:rsidR="00C34EA3" w:rsidRPr="00033E1B" w:rsidRDefault="00C34EA3" w:rsidP="00033E1B">
            <w:pPr>
              <w:spacing w:before="40" w:after="40"/>
              <w:rPr>
                <w:rFonts w:cstheme="minorHAnsi"/>
                <w:i/>
              </w:rPr>
            </w:pPr>
            <w:r>
              <w:rPr>
                <w:i/>
              </w:rPr>
              <w:t xml:space="preserve">Si une visite de site a été réalisée, ajoutez des photos pour illustrer la situation actuelle (technologies/infrastructures de pompage, stockage et irrigation utilisées, cultures plantées, champs, environnement naturel général, impressions sur la communauté locale, principaux membres de la communauté consultés </w:t>
            </w:r>
          </w:p>
        </w:tc>
      </w:tr>
    </w:tbl>
    <w:p w:rsidR="000F1CE7" w:rsidRPr="00F31A94" w:rsidRDefault="000F1CE7" w:rsidP="00322AFF"/>
    <w:sectPr w:rsidR="000F1CE7" w:rsidRPr="00F31A94" w:rsidSect="009430B7">
      <w:headerReference w:type="even" r:id="rId17"/>
      <w:headerReference w:type="default" r:id="rId18"/>
      <w:footerReference w:type="even" r:id="rId19"/>
      <w:footerReference w:type="default" r:id="rId20"/>
      <w:headerReference w:type="first" r:id="rId21"/>
      <w:footerReference w:type="first" r:id="rId22"/>
      <w:pgSz w:w="11907" w:h="16840" w:code="9"/>
      <w:pgMar w:top="1814" w:right="1134" w:bottom="1134" w:left="1431"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C26" w:rsidRDefault="00352C26">
      <w:r>
        <w:separator/>
      </w:r>
    </w:p>
  </w:endnote>
  <w:endnote w:type="continuationSeparator" w:id="0">
    <w:p w:rsidR="00352C26" w:rsidRDefault="00352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 Pro">
    <w:altName w:val="Minion Pro"/>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844" w:rsidRDefault="001C1844" w:rsidP="0004308C">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844" w:rsidRPr="001E2CB9" w:rsidRDefault="001C1844" w:rsidP="001E2CB9">
    <w:pPr>
      <w:pStyle w:val="Footer"/>
      <w:rPr>
        <w:b/>
        <w:color w:val="9EA231"/>
      </w:rPr>
    </w:pPr>
    <w:r w:rsidRPr="00314643">
      <w:rPr>
        <w:b/>
        <w:color w:val="9EA231"/>
      </w:rPr>
      <w:fldChar w:fldCharType="begin"/>
    </w:r>
    <w:r w:rsidRPr="00314643">
      <w:rPr>
        <w:b/>
        <w:color w:val="9EA231"/>
      </w:rPr>
      <w:instrText xml:space="preserve"> PAGE   \* MERGEFORMAT </w:instrText>
    </w:r>
    <w:r w:rsidRPr="00314643">
      <w:rPr>
        <w:b/>
        <w:color w:val="9EA231"/>
      </w:rPr>
      <w:fldChar w:fldCharType="separate"/>
    </w:r>
    <w:r>
      <w:rPr>
        <w:b/>
        <w:color w:val="9EA231"/>
      </w:rPr>
      <w:t>5</w:t>
    </w:r>
    <w:r w:rsidRPr="00314643">
      <w:rPr>
        <w:b/>
        <w:color w:val="9EA23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Default="006441EE">
    <w:pPr>
      <w:pStyle w:val="Footer"/>
      <w:framePr w:wrap="around" w:vAnchor="text" w:hAnchor="margin" w:xAlign="outside" w:y="1"/>
    </w:pPr>
    <w:r>
      <w:fldChar w:fldCharType="begin"/>
    </w:r>
    <w:r w:rsidR="00D01247">
      <w:instrText xml:space="preserve">PAGE  </w:instrText>
    </w:r>
    <w:r>
      <w:fldChar w:fldCharType="end"/>
    </w:r>
  </w:p>
  <w:p w:rsidR="00D01247" w:rsidRDefault="00D01247">
    <w:pPr>
      <w:pStyle w:val="Footer"/>
      <w:ind w:right="360" w:firstLine="360"/>
    </w:pPr>
  </w:p>
  <w:p w:rsidR="006C417A" w:rsidRDefault="006C417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Default="0064418D">
    <w:pPr>
      <w:pStyle w:val="Footer"/>
    </w:pPr>
    <w:r>
      <w:fldChar w:fldCharType="begin"/>
    </w:r>
    <w:r>
      <w:instrText xml:space="preserve"> PAGE </w:instrText>
    </w:r>
    <w:r>
      <w:fldChar w:fldCharType="separate"/>
    </w:r>
    <w:r w:rsidR="006600F1">
      <w:rPr>
        <w:noProof/>
      </w:rPr>
      <w:t>2</w:t>
    </w:r>
    <w:r>
      <w:fldChar w:fldCharType="end"/>
    </w:r>
  </w:p>
  <w:p w:rsidR="006C417A" w:rsidRDefault="006C417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A3" w:rsidRDefault="00C34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C26" w:rsidRDefault="00352C26">
      <w:r>
        <w:separator/>
      </w:r>
    </w:p>
  </w:footnote>
  <w:footnote w:type="continuationSeparator" w:id="0">
    <w:p w:rsidR="00352C26" w:rsidRDefault="00352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844" w:rsidRDefault="001C1844" w:rsidP="0004308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Default="00D01247">
    <w:r>
      <w:cr/>
    </w:r>
  </w:p>
  <w:p w:rsidR="006C417A" w:rsidRDefault="006C41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247" w:rsidRPr="00BC65BF" w:rsidRDefault="00D01247" w:rsidP="0004747F">
    <w:pPr>
      <w:pStyle w:val="Header"/>
      <w:ind w:right="-14"/>
    </w:pPr>
    <w:r>
      <w:rPr>
        <w:noProof/>
        <w:lang w:val="de-DE"/>
      </w:rPr>
      <w:drawing>
        <wp:anchor distT="0" distB="0" distL="114300" distR="114300" simplePos="0" relativeHeight="251659264" behindDoc="0" locked="0" layoutInCell="1" allowOverlap="1" wp14:anchorId="68123DE9" wp14:editId="1EDE06BD">
          <wp:simplePos x="0" y="0"/>
          <wp:positionH relativeFrom="column">
            <wp:posOffset>8885411</wp:posOffset>
          </wp:positionH>
          <wp:positionV relativeFrom="paragraph">
            <wp:posOffset>-227310</wp:posOffset>
          </wp:positionV>
          <wp:extent cx="895350" cy="604684"/>
          <wp:effectExtent l="19050" t="0" r="0" b="0"/>
          <wp:wrapNone/>
          <wp:docPr id="5" name="Bild 7" descr="gizlogo-standard-rgb.gif"/>
          <wp:cNvGraphicFramePr/>
          <a:graphic xmlns:a="http://schemas.openxmlformats.org/drawingml/2006/main">
            <a:graphicData uri="http://schemas.openxmlformats.org/drawingml/2006/picture">
              <pic:pic xmlns:pic="http://schemas.openxmlformats.org/drawingml/2006/picture">
                <pic:nvPicPr>
                  <pic:cNvPr id="1040" name="Grafik 16" descr="gizlogo-standard-rgb.gif"/>
                  <pic:cNvPicPr>
                    <a:picLocks noChangeAspect="1"/>
                  </pic:cNvPicPr>
                </pic:nvPicPr>
                <pic:blipFill>
                  <a:blip r:embed="rId1" cstate="print"/>
                  <a:srcRect t="13757" b="19566"/>
                  <a:stretch>
                    <a:fillRect/>
                  </a:stretch>
                </pic:blipFill>
                <pic:spPr bwMode="auto">
                  <a:xfrm>
                    <a:off x="0" y="0"/>
                    <a:ext cx="895350" cy="604684"/>
                  </a:xfrm>
                  <a:prstGeom prst="rect">
                    <a:avLst/>
                  </a:prstGeom>
                  <a:noFill/>
                  <a:ln w="9525">
                    <a:noFill/>
                    <a:miter lim="800000"/>
                    <a:headEnd/>
                    <a:tailEnd/>
                  </a:ln>
                </pic:spPr>
              </pic:pic>
            </a:graphicData>
          </a:graphic>
        </wp:anchor>
      </w:drawing>
    </w:r>
  </w:p>
  <w:p w:rsidR="001C1844" w:rsidRDefault="001C5974" w:rsidP="001C1844">
    <w:pPr>
      <w:pStyle w:val="NormalWeb"/>
      <w:spacing w:before="0" w:beforeAutospacing="0" w:after="0" w:afterAutospacing="0"/>
      <w:jc w:val="center"/>
      <w:rPr>
        <w:rFonts w:ascii="Arial" w:hAnsi="Arial" w:cs="Arial"/>
        <w:sz w:val="56"/>
      </w:rPr>
    </w:pPr>
    <w:r>
      <w:rPr>
        <w:noProof/>
        <w:lang w:val="de-DE"/>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151765</wp:posOffset>
              </wp:positionV>
              <wp:extent cx="7567295" cy="378460"/>
              <wp:effectExtent l="0" t="0" r="0" b="0"/>
              <wp:wrapNone/>
              <wp:docPr id="4"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7295" cy="378460"/>
                      </a:xfrm>
                      <a:prstGeom prst="rect">
                        <a:avLst/>
                      </a:prstGeom>
                      <a:solidFill>
                        <a:srgbClr val="E1E5CD"/>
                      </a:solidFill>
                    </wps:spPr>
                    <wps:txbx>
                      <w:txbxContent>
                        <w:p w:rsidR="001C1844" w:rsidRDefault="001C1844" w:rsidP="001C1844">
                          <w:pPr>
                            <w:pStyle w:val="NormalWeb"/>
                            <w:spacing w:before="0" w:beforeAutospacing="0" w:after="0" w:afterAutospacing="0"/>
                            <w:jc w:val="center"/>
                            <w:rPr>
                              <w:rFonts w:ascii="Arial" w:hAnsi="Arial" w:cs="Arial"/>
                              <w:sz w:val="56"/>
                              <w:lang w:val="en-US"/>
                            </w:rPr>
                          </w:pP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el 1" o:spid="_x0000_s1026" type="#_x0000_t202" style="position:absolute;left:0;text-align:left;margin-left:-1in;margin-top:11.95pt;width:595.85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" fillcolor="#e1e5cd" stroked="f">
              <v:path arrowok="t"/>
              <v:textbox>
                <w:txbxContent>
                  <w:p w:rsidR="001C1844" w:rsidRDefault="001C1844" w:rsidP="001C1844">
                    <w:pPr>
                      <w:pStyle w:val="NormalWeb"/>
                      <w:spacing w:before="0" w:beforeAutospacing="0" w:after="0" w:afterAutospacing="0"/>
                      <w:jc w:val="center"/>
                      <w:rPr>
                        <w:rFonts w:ascii="Arial" w:hAnsi="Arial" w:cs="Arial"/>
                        <w:sz w:val="56"/>
                        <w:lang w:val="en-US"/>
                      </w:rPr>
                    </w:pPr>
                  </w:p>
                </w:txbxContent>
              </v:textbox>
            </v:shape>
          </w:pict>
        </mc:Fallback>
      </mc:AlternateContent>
    </w:r>
  </w:p>
  <w:p w:rsidR="001C1844" w:rsidRDefault="001C184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A3" w:rsidRDefault="00C34E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942079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35878C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83A93A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72C856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0A292D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31C48010"/>
    <w:lvl w:ilvl="0">
      <w:numFmt w:val="decimal"/>
      <w:lvlText w:val="*"/>
      <w:lvlJc w:val="left"/>
    </w:lvl>
  </w:abstractNum>
  <w:abstractNum w:abstractNumId="6" w15:restartNumberingAfterBreak="0">
    <w:nsid w:val="08891E15"/>
    <w:multiLevelType w:val="multilevel"/>
    <w:tmpl w:val="6CEAC236"/>
    <w:styleLink w:val="GFABullit1"/>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7" w15:restartNumberingAfterBreak="0">
    <w:nsid w:val="08AB3F60"/>
    <w:multiLevelType w:val="hybridMultilevel"/>
    <w:tmpl w:val="73B216CC"/>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6C2B54"/>
    <w:multiLevelType w:val="hybridMultilevel"/>
    <w:tmpl w:val="72244C42"/>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383577"/>
    <w:multiLevelType w:val="multilevel"/>
    <w:tmpl w:val="6CEAC236"/>
    <w:numStyleLink w:val="GFABullit1"/>
  </w:abstractNum>
  <w:abstractNum w:abstractNumId="10" w15:restartNumberingAfterBreak="0">
    <w:nsid w:val="15D679AF"/>
    <w:multiLevelType w:val="multilevel"/>
    <w:tmpl w:val="6CEAC236"/>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1" w15:restartNumberingAfterBreak="0">
    <w:nsid w:val="198377CC"/>
    <w:multiLevelType w:val="multilevel"/>
    <w:tmpl w:val="6CEAC236"/>
    <w:numStyleLink w:val="GFABullit1"/>
  </w:abstractNum>
  <w:abstractNum w:abstractNumId="12" w15:restartNumberingAfterBreak="0">
    <w:nsid w:val="1A1A1510"/>
    <w:multiLevelType w:val="hybridMultilevel"/>
    <w:tmpl w:val="7DB40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8D1976"/>
    <w:multiLevelType w:val="hybridMultilevel"/>
    <w:tmpl w:val="03FE8166"/>
    <w:lvl w:ilvl="0" w:tplc="BB3EB562">
      <w:start w:val="1"/>
      <w:numFmt w:val="bullet"/>
      <w:lvlText w:val="•"/>
      <w:lvlJc w:val="left"/>
      <w:pPr>
        <w:tabs>
          <w:tab w:val="num" w:pos="720"/>
        </w:tabs>
        <w:ind w:left="720" w:hanging="360"/>
      </w:pPr>
      <w:rPr>
        <w:rFonts w:ascii="Times New Roman" w:hAnsi="Times New Roman" w:hint="default"/>
      </w:rPr>
    </w:lvl>
    <w:lvl w:ilvl="1" w:tplc="26C6E550" w:tentative="1">
      <w:start w:val="1"/>
      <w:numFmt w:val="bullet"/>
      <w:lvlText w:val="•"/>
      <w:lvlJc w:val="left"/>
      <w:pPr>
        <w:tabs>
          <w:tab w:val="num" w:pos="1440"/>
        </w:tabs>
        <w:ind w:left="1440" w:hanging="360"/>
      </w:pPr>
      <w:rPr>
        <w:rFonts w:ascii="Times New Roman" w:hAnsi="Times New Roman" w:hint="default"/>
      </w:rPr>
    </w:lvl>
    <w:lvl w:ilvl="2" w:tplc="E480B07C" w:tentative="1">
      <w:start w:val="1"/>
      <w:numFmt w:val="bullet"/>
      <w:lvlText w:val="•"/>
      <w:lvlJc w:val="left"/>
      <w:pPr>
        <w:tabs>
          <w:tab w:val="num" w:pos="2160"/>
        </w:tabs>
        <w:ind w:left="2160" w:hanging="360"/>
      </w:pPr>
      <w:rPr>
        <w:rFonts w:ascii="Times New Roman" w:hAnsi="Times New Roman" w:hint="default"/>
      </w:rPr>
    </w:lvl>
    <w:lvl w:ilvl="3" w:tplc="1A5EFD62" w:tentative="1">
      <w:start w:val="1"/>
      <w:numFmt w:val="bullet"/>
      <w:lvlText w:val="•"/>
      <w:lvlJc w:val="left"/>
      <w:pPr>
        <w:tabs>
          <w:tab w:val="num" w:pos="2880"/>
        </w:tabs>
        <w:ind w:left="2880" w:hanging="360"/>
      </w:pPr>
      <w:rPr>
        <w:rFonts w:ascii="Times New Roman" w:hAnsi="Times New Roman" w:hint="default"/>
      </w:rPr>
    </w:lvl>
    <w:lvl w:ilvl="4" w:tplc="1C50A9DE" w:tentative="1">
      <w:start w:val="1"/>
      <w:numFmt w:val="bullet"/>
      <w:lvlText w:val="•"/>
      <w:lvlJc w:val="left"/>
      <w:pPr>
        <w:tabs>
          <w:tab w:val="num" w:pos="3600"/>
        </w:tabs>
        <w:ind w:left="3600" w:hanging="360"/>
      </w:pPr>
      <w:rPr>
        <w:rFonts w:ascii="Times New Roman" w:hAnsi="Times New Roman" w:hint="default"/>
      </w:rPr>
    </w:lvl>
    <w:lvl w:ilvl="5" w:tplc="246CA76C" w:tentative="1">
      <w:start w:val="1"/>
      <w:numFmt w:val="bullet"/>
      <w:lvlText w:val="•"/>
      <w:lvlJc w:val="left"/>
      <w:pPr>
        <w:tabs>
          <w:tab w:val="num" w:pos="4320"/>
        </w:tabs>
        <w:ind w:left="4320" w:hanging="360"/>
      </w:pPr>
      <w:rPr>
        <w:rFonts w:ascii="Times New Roman" w:hAnsi="Times New Roman" w:hint="default"/>
      </w:rPr>
    </w:lvl>
    <w:lvl w:ilvl="6" w:tplc="6C905E00" w:tentative="1">
      <w:start w:val="1"/>
      <w:numFmt w:val="bullet"/>
      <w:lvlText w:val="•"/>
      <w:lvlJc w:val="left"/>
      <w:pPr>
        <w:tabs>
          <w:tab w:val="num" w:pos="5040"/>
        </w:tabs>
        <w:ind w:left="5040" w:hanging="360"/>
      </w:pPr>
      <w:rPr>
        <w:rFonts w:ascii="Times New Roman" w:hAnsi="Times New Roman" w:hint="default"/>
      </w:rPr>
    </w:lvl>
    <w:lvl w:ilvl="7" w:tplc="B3C40FF0" w:tentative="1">
      <w:start w:val="1"/>
      <w:numFmt w:val="bullet"/>
      <w:lvlText w:val="•"/>
      <w:lvlJc w:val="left"/>
      <w:pPr>
        <w:tabs>
          <w:tab w:val="num" w:pos="5760"/>
        </w:tabs>
        <w:ind w:left="5760" w:hanging="360"/>
      </w:pPr>
      <w:rPr>
        <w:rFonts w:ascii="Times New Roman" w:hAnsi="Times New Roman" w:hint="default"/>
      </w:rPr>
    </w:lvl>
    <w:lvl w:ilvl="8" w:tplc="B2F0495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D934CDF"/>
    <w:multiLevelType w:val="hybridMultilevel"/>
    <w:tmpl w:val="282EF598"/>
    <w:lvl w:ilvl="0" w:tplc="A2F2903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AE30EA"/>
    <w:multiLevelType w:val="multilevel"/>
    <w:tmpl w:val="81E6BE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68E5F6D"/>
    <w:multiLevelType w:val="multilevel"/>
    <w:tmpl w:val="339E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F24B52"/>
    <w:multiLevelType w:val="hybridMultilevel"/>
    <w:tmpl w:val="4D1C9FCA"/>
    <w:lvl w:ilvl="0" w:tplc="F61AEED4">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2E621824"/>
    <w:multiLevelType w:val="multilevel"/>
    <w:tmpl w:val="F9980216"/>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23D155C"/>
    <w:multiLevelType w:val="multilevel"/>
    <w:tmpl w:val="B0F65C4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2C0318A"/>
    <w:multiLevelType w:val="multilevel"/>
    <w:tmpl w:val="75DC0FF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2C32AAD"/>
    <w:multiLevelType w:val="hybridMultilevel"/>
    <w:tmpl w:val="DB2E0656"/>
    <w:lvl w:ilvl="0" w:tplc="6E6806B6">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C32150"/>
    <w:multiLevelType w:val="hybridMultilevel"/>
    <w:tmpl w:val="B210AA4E"/>
    <w:lvl w:ilvl="0" w:tplc="371A318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A02DC"/>
    <w:multiLevelType w:val="hybridMultilevel"/>
    <w:tmpl w:val="A7EEF55E"/>
    <w:lvl w:ilvl="0" w:tplc="CFBE4112">
      <w:start w:val="1"/>
      <w:numFmt w:val="bullet"/>
      <w:lvlText w:val="•"/>
      <w:lvlJc w:val="left"/>
      <w:pPr>
        <w:tabs>
          <w:tab w:val="num" w:pos="720"/>
        </w:tabs>
        <w:ind w:left="720" w:hanging="360"/>
      </w:pPr>
      <w:rPr>
        <w:rFonts w:ascii="Times New Roman" w:hAnsi="Times New Roman" w:hint="default"/>
      </w:rPr>
    </w:lvl>
    <w:lvl w:ilvl="1" w:tplc="B0007D76">
      <w:start w:val="1167"/>
      <w:numFmt w:val="bullet"/>
      <w:lvlText w:val="–"/>
      <w:lvlJc w:val="left"/>
      <w:pPr>
        <w:tabs>
          <w:tab w:val="num" w:pos="1440"/>
        </w:tabs>
        <w:ind w:left="1440" w:hanging="360"/>
      </w:pPr>
      <w:rPr>
        <w:rFonts w:ascii="Times New Roman" w:hAnsi="Times New Roman" w:hint="default"/>
      </w:rPr>
    </w:lvl>
    <w:lvl w:ilvl="2" w:tplc="BB5C53F8" w:tentative="1">
      <w:start w:val="1"/>
      <w:numFmt w:val="bullet"/>
      <w:lvlText w:val="•"/>
      <w:lvlJc w:val="left"/>
      <w:pPr>
        <w:tabs>
          <w:tab w:val="num" w:pos="2160"/>
        </w:tabs>
        <w:ind w:left="2160" w:hanging="360"/>
      </w:pPr>
      <w:rPr>
        <w:rFonts w:ascii="Times New Roman" w:hAnsi="Times New Roman" w:hint="default"/>
      </w:rPr>
    </w:lvl>
    <w:lvl w:ilvl="3" w:tplc="C60C48AA" w:tentative="1">
      <w:start w:val="1"/>
      <w:numFmt w:val="bullet"/>
      <w:lvlText w:val="•"/>
      <w:lvlJc w:val="left"/>
      <w:pPr>
        <w:tabs>
          <w:tab w:val="num" w:pos="2880"/>
        </w:tabs>
        <w:ind w:left="2880" w:hanging="360"/>
      </w:pPr>
      <w:rPr>
        <w:rFonts w:ascii="Times New Roman" w:hAnsi="Times New Roman" w:hint="default"/>
      </w:rPr>
    </w:lvl>
    <w:lvl w:ilvl="4" w:tplc="0786136C" w:tentative="1">
      <w:start w:val="1"/>
      <w:numFmt w:val="bullet"/>
      <w:lvlText w:val="•"/>
      <w:lvlJc w:val="left"/>
      <w:pPr>
        <w:tabs>
          <w:tab w:val="num" w:pos="3600"/>
        </w:tabs>
        <w:ind w:left="3600" w:hanging="360"/>
      </w:pPr>
      <w:rPr>
        <w:rFonts w:ascii="Times New Roman" w:hAnsi="Times New Roman" w:hint="default"/>
      </w:rPr>
    </w:lvl>
    <w:lvl w:ilvl="5" w:tplc="63A4E5EC" w:tentative="1">
      <w:start w:val="1"/>
      <w:numFmt w:val="bullet"/>
      <w:lvlText w:val="•"/>
      <w:lvlJc w:val="left"/>
      <w:pPr>
        <w:tabs>
          <w:tab w:val="num" w:pos="4320"/>
        </w:tabs>
        <w:ind w:left="4320" w:hanging="360"/>
      </w:pPr>
      <w:rPr>
        <w:rFonts w:ascii="Times New Roman" w:hAnsi="Times New Roman" w:hint="default"/>
      </w:rPr>
    </w:lvl>
    <w:lvl w:ilvl="6" w:tplc="25301BB8" w:tentative="1">
      <w:start w:val="1"/>
      <w:numFmt w:val="bullet"/>
      <w:lvlText w:val="•"/>
      <w:lvlJc w:val="left"/>
      <w:pPr>
        <w:tabs>
          <w:tab w:val="num" w:pos="5040"/>
        </w:tabs>
        <w:ind w:left="5040" w:hanging="360"/>
      </w:pPr>
      <w:rPr>
        <w:rFonts w:ascii="Times New Roman" w:hAnsi="Times New Roman" w:hint="default"/>
      </w:rPr>
    </w:lvl>
    <w:lvl w:ilvl="7" w:tplc="AD24D814" w:tentative="1">
      <w:start w:val="1"/>
      <w:numFmt w:val="bullet"/>
      <w:lvlText w:val="•"/>
      <w:lvlJc w:val="left"/>
      <w:pPr>
        <w:tabs>
          <w:tab w:val="num" w:pos="5760"/>
        </w:tabs>
        <w:ind w:left="5760" w:hanging="360"/>
      </w:pPr>
      <w:rPr>
        <w:rFonts w:ascii="Times New Roman" w:hAnsi="Times New Roman" w:hint="default"/>
      </w:rPr>
    </w:lvl>
    <w:lvl w:ilvl="8" w:tplc="161A4F9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1C44617"/>
    <w:multiLevelType w:val="multilevel"/>
    <w:tmpl w:val="B8BCA9BC"/>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440"/>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29E689C"/>
    <w:multiLevelType w:val="hybridMultilevel"/>
    <w:tmpl w:val="A71EBD8E"/>
    <w:lvl w:ilvl="0" w:tplc="B54A505A">
      <w:start w:val="1"/>
      <w:numFmt w:val="bullet"/>
      <w:lvlText w:val=""/>
      <w:lvlJc w:val="left"/>
      <w:pPr>
        <w:tabs>
          <w:tab w:val="num" w:pos="36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282014"/>
    <w:multiLevelType w:val="multilevel"/>
    <w:tmpl w:val="6CEAC236"/>
    <w:numStyleLink w:val="GFABullit1"/>
  </w:abstractNum>
  <w:abstractNum w:abstractNumId="27" w15:restartNumberingAfterBreak="0">
    <w:nsid w:val="467C551A"/>
    <w:multiLevelType w:val="hybridMultilevel"/>
    <w:tmpl w:val="4128F10E"/>
    <w:lvl w:ilvl="0" w:tplc="FF4EF3A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E002780"/>
    <w:multiLevelType w:val="multilevel"/>
    <w:tmpl w:val="A73C338A"/>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AA7AE7"/>
    <w:multiLevelType w:val="singleLevel"/>
    <w:tmpl w:val="FC8893F8"/>
    <w:lvl w:ilvl="0">
      <w:start w:val="1"/>
      <w:numFmt w:val="none"/>
      <w:lvlText w:val=""/>
      <w:legacy w:legacy="1" w:legacySpace="0" w:legacyIndent="284"/>
      <w:lvlJc w:val="left"/>
      <w:pPr>
        <w:ind w:left="993" w:hanging="284"/>
      </w:pPr>
      <w:rPr>
        <w:rFonts w:ascii="Symbol" w:hAnsi="Symbol" w:hint="default"/>
      </w:rPr>
    </w:lvl>
  </w:abstractNum>
  <w:abstractNum w:abstractNumId="30" w15:restartNumberingAfterBreak="0">
    <w:nsid w:val="5F104606"/>
    <w:multiLevelType w:val="hybridMultilevel"/>
    <w:tmpl w:val="49801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13A08"/>
    <w:multiLevelType w:val="hybridMultilevel"/>
    <w:tmpl w:val="11D2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866C4"/>
    <w:multiLevelType w:val="hybridMultilevel"/>
    <w:tmpl w:val="8A48620E"/>
    <w:lvl w:ilvl="0" w:tplc="165AC384">
      <w:start w:val="1"/>
      <w:numFmt w:val="decimal"/>
      <w:lvlText w:val="%1."/>
      <w:lvlJc w:val="left"/>
      <w:pPr>
        <w:tabs>
          <w:tab w:val="num" w:pos="720"/>
        </w:tabs>
        <w:ind w:left="720" w:hanging="360"/>
      </w:pPr>
    </w:lvl>
    <w:lvl w:ilvl="1" w:tplc="4546E93E" w:tentative="1">
      <w:start w:val="1"/>
      <w:numFmt w:val="decimal"/>
      <w:lvlText w:val="%2."/>
      <w:lvlJc w:val="left"/>
      <w:pPr>
        <w:tabs>
          <w:tab w:val="num" w:pos="1440"/>
        </w:tabs>
        <w:ind w:left="1440" w:hanging="360"/>
      </w:pPr>
    </w:lvl>
    <w:lvl w:ilvl="2" w:tplc="9F9EF666" w:tentative="1">
      <w:start w:val="1"/>
      <w:numFmt w:val="decimal"/>
      <w:lvlText w:val="%3."/>
      <w:lvlJc w:val="left"/>
      <w:pPr>
        <w:tabs>
          <w:tab w:val="num" w:pos="2160"/>
        </w:tabs>
        <w:ind w:left="2160" w:hanging="360"/>
      </w:pPr>
    </w:lvl>
    <w:lvl w:ilvl="3" w:tplc="354AE45E" w:tentative="1">
      <w:start w:val="1"/>
      <w:numFmt w:val="decimal"/>
      <w:lvlText w:val="%4."/>
      <w:lvlJc w:val="left"/>
      <w:pPr>
        <w:tabs>
          <w:tab w:val="num" w:pos="2880"/>
        </w:tabs>
        <w:ind w:left="2880" w:hanging="360"/>
      </w:pPr>
    </w:lvl>
    <w:lvl w:ilvl="4" w:tplc="9A54347A" w:tentative="1">
      <w:start w:val="1"/>
      <w:numFmt w:val="decimal"/>
      <w:lvlText w:val="%5."/>
      <w:lvlJc w:val="left"/>
      <w:pPr>
        <w:tabs>
          <w:tab w:val="num" w:pos="3600"/>
        </w:tabs>
        <w:ind w:left="3600" w:hanging="360"/>
      </w:pPr>
    </w:lvl>
    <w:lvl w:ilvl="5" w:tplc="BD449284" w:tentative="1">
      <w:start w:val="1"/>
      <w:numFmt w:val="decimal"/>
      <w:lvlText w:val="%6."/>
      <w:lvlJc w:val="left"/>
      <w:pPr>
        <w:tabs>
          <w:tab w:val="num" w:pos="4320"/>
        </w:tabs>
        <w:ind w:left="4320" w:hanging="360"/>
      </w:pPr>
    </w:lvl>
    <w:lvl w:ilvl="6" w:tplc="4EEE67B8" w:tentative="1">
      <w:start w:val="1"/>
      <w:numFmt w:val="decimal"/>
      <w:lvlText w:val="%7."/>
      <w:lvlJc w:val="left"/>
      <w:pPr>
        <w:tabs>
          <w:tab w:val="num" w:pos="5040"/>
        </w:tabs>
        <w:ind w:left="5040" w:hanging="360"/>
      </w:pPr>
    </w:lvl>
    <w:lvl w:ilvl="7" w:tplc="8C5C0E42" w:tentative="1">
      <w:start w:val="1"/>
      <w:numFmt w:val="decimal"/>
      <w:lvlText w:val="%8."/>
      <w:lvlJc w:val="left"/>
      <w:pPr>
        <w:tabs>
          <w:tab w:val="num" w:pos="5760"/>
        </w:tabs>
        <w:ind w:left="5760" w:hanging="360"/>
      </w:pPr>
    </w:lvl>
    <w:lvl w:ilvl="8" w:tplc="7D5E02C6" w:tentative="1">
      <w:start w:val="1"/>
      <w:numFmt w:val="decimal"/>
      <w:lvlText w:val="%9."/>
      <w:lvlJc w:val="left"/>
      <w:pPr>
        <w:tabs>
          <w:tab w:val="num" w:pos="6480"/>
        </w:tabs>
        <w:ind w:left="6480" w:hanging="360"/>
      </w:pPr>
    </w:lvl>
  </w:abstractNum>
  <w:abstractNum w:abstractNumId="33" w15:restartNumberingAfterBreak="0">
    <w:nsid w:val="6B530B97"/>
    <w:multiLevelType w:val="hybridMultilevel"/>
    <w:tmpl w:val="A7B6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93729D"/>
    <w:multiLevelType w:val="hybridMultilevel"/>
    <w:tmpl w:val="E9DC1ACC"/>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2F537C"/>
    <w:multiLevelType w:val="hybridMultilevel"/>
    <w:tmpl w:val="2A4E6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892ACC"/>
    <w:multiLevelType w:val="hybridMultilevel"/>
    <w:tmpl w:val="3F6C6EB4"/>
    <w:lvl w:ilvl="0" w:tplc="FF4EF3A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B025035"/>
    <w:multiLevelType w:val="hybridMultilevel"/>
    <w:tmpl w:val="9D041D56"/>
    <w:lvl w:ilvl="0" w:tplc="B528550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AB5E02"/>
    <w:multiLevelType w:val="hybridMultilevel"/>
    <w:tmpl w:val="9ACAA070"/>
    <w:lvl w:ilvl="0" w:tplc="0F662880">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9"/>
  </w:num>
  <w:num w:numId="7">
    <w:abstractNumId w:val="19"/>
  </w:num>
  <w:num w:numId="8">
    <w:abstractNumId w:val="19"/>
  </w:num>
  <w:num w:numId="9">
    <w:abstractNumId w:val="19"/>
  </w:num>
  <w:num w:numId="10">
    <w:abstractNumId w:val="19"/>
  </w:num>
  <w:num w:numId="11">
    <w:abstractNumId w:val="29"/>
  </w:num>
  <w:num w:numId="12">
    <w:abstractNumId w:val="5"/>
    <w:lvlOverride w:ilvl="0">
      <w:lvl w:ilvl="0">
        <w:start w:val="1"/>
        <w:numFmt w:val="bullet"/>
        <w:lvlText w:val=""/>
        <w:lvlJc w:val="left"/>
        <w:pPr>
          <w:tabs>
            <w:tab w:val="num" w:pos="360"/>
          </w:tabs>
          <w:ind w:left="360" w:hanging="360"/>
        </w:pPr>
        <w:rPr>
          <w:rFonts w:ascii="Symbol" w:hAnsi="Symbol" w:hint="default"/>
        </w:rPr>
      </w:lvl>
    </w:lvlOverride>
  </w:num>
  <w:num w:numId="13">
    <w:abstractNumId w:val="17"/>
  </w:num>
  <w:num w:numId="14">
    <w:abstractNumId w:val="25"/>
  </w:num>
  <w:num w:numId="15">
    <w:abstractNumId w:val="21"/>
  </w:num>
  <w:num w:numId="16">
    <w:abstractNumId w:val="24"/>
  </w:num>
  <w:num w:numId="17">
    <w:abstractNumId w:val="24"/>
  </w:num>
  <w:num w:numId="18">
    <w:abstractNumId w:val="24"/>
  </w:num>
  <w:num w:numId="19">
    <w:abstractNumId w:val="24"/>
  </w:num>
  <w:num w:numId="20">
    <w:abstractNumId w:val="24"/>
  </w:num>
  <w:num w:numId="21">
    <w:abstractNumId w:val="6"/>
  </w:num>
  <w:num w:numId="22">
    <w:abstractNumId w:val="9"/>
  </w:num>
  <w:num w:numId="23">
    <w:abstractNumId w:val="26"/>
  </w:num>
  <w:num w:numId="24">
    <w:abstractNumId w:val="10"/>
  </w:num>
  <w:num w:numId="25">
    <w:abstractNumId w:val="11"/>
  </w:num>
  <w:num w:numId="26">
    <w:abstractNumId w:val="7"/>
  </w:num>
  <w:num w:numId="27">
    <w:abstractNumId w:val="37"/>
  </w:num>
  <w:num w:numId="28">
    <w:abstractNumId w:val="8"/>
  </w:num>
  <w:num w:numId="29">
    <w:abstractNumId w:val="34"/>
  </w:num>
  <w:num w:numId="30">
    <w:abstractNumId w:val="33"/>
  </w:num>
  <w:num w:numId="31">
    <w:abstractNumId w:val="12"/>
  </w:num>
  <w:num w:numId="32">
    <w:abstractNumId w:val="31"/>
  </w:num>
  <w:num w:numId="33">
    <w:abstractNumId w:val="35"/>
  </w:num>
  <w:num w:numId="34">
    <w:abstractNumId w:val="30"/>
  </w:num>
  <w:num w:numId="35">
    <w:abstractNumId w:val="13"/>
  </w:num>
  <w:num w:numId="36">
    <w:abstractNumId w:val="32"/>
  </w:num>
  <w:num w:numId="37">
    <w:abstractNumId w:val="23"/>
  </w:num>
  <w:num w:numId="38">
    <w:abstractNumId w:val="22"/>
  </w:num>
  <w:num w:numId="39">
    <w:abstractNumId w:val="28"/>
  </w:num>
  <w:num w:numId="40">
    <w:abstractNumId w:val="14"/>
  </w:num>
  <w:num w:numId="41">
    <w:abstractNumId w:val="38"/>
  </w:num>
  <w:num w:numId="42">
    <w:abstractNumId w:val="27"/>
  </w:num>
  <w:num w:numId="43">
    <w:abstractNumId w:val="36"/>
  </w:num>
  <w:num w:numId="44">
    <w:abstractNumId w:val="15"/>
  </w:num>
  <w:num w:numId="45">
    <w:abstractNumId w:val="18"/>
  </w:num>
  <w:num w:numId="46">
    <w:abstractNumId w:val="2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proofState w:spelling="clean" w:grammar="clean"/>
  <w:styleLockTheme/>
  <w:styleLockQFSet/>
  <w:defaultTabStop w:val="284"/>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D8B"/>
    <w:rsid w:val="0000017E"/>
    <w:rsid w:val="00006968"/>
    <w:rsid w:val="00021C6D"/>
    <w:rsid w:val="00026602"/>
    <w:rsid w:val="00033E1B"/>
    <w:rsid w:val="0004747F"/>
    <w:rsid w:val="000845F6"/>
    <w:rsid w:val="000A284D"/>
    <w:rsid w:val="000B082F"/>
    <w:rsid w:val="000B7789"/>
    <w:rsid w:val="000C2870"/>
    <w:rsid w:val="000D1C4F"/>
    <w:rsid w:val="000F1CE7"/>
    <w:rsid w:val="001067D0"/>
    <w:rsid w:val="00112CA0"/>
    <w:rsid w:val="00131194"/>
    <w:rsid w:val="00135F47"/>
    <w:rsid w:val="0016129C"/>
    <w:rsid w:val="00175DA8"/>
    <w:rsid w:val="001854B7"/>
    <w:rsid w:val="001C1844"/>
    <w:rsid w:val="001C5974"/>
    <w:rsid w:val="001D7B83"/>
    <w:rsid w:val="001F6AC8"/>
    <w:rsid w:val="0020470B"/>
    <w:rsid w:val="00206D65"/>
    <w:rsid w:val="00207B13"/>
    <w:rsid w:val="002151B6"/>
    <w:rsid w:val="00232823"/>
    <w:rsid w:val="00232CA3"/>
    <w:rsid w:val="00235E19"/>
    <w:rsid w:val="0023777A"/>
    <w:rsid w:val="00265FD1"/>
    <w:rsid w:val="00267A42"/>
    <w:rsid w:val="00267E55"/>
    <w:rsid w:val="00267EAE"/>
    <w:rsid w:val="002814E6"/>
    <w:rsid w:val="002A0733"/>
    <w:rsid w:val="002C09DF"/>
    <w:rsid w:val="002C15D8"/>
    <w:rsid w:val="002C29F7"/>
    <w:rsid w:val="002E0B58"/>
    <w:rsid w:val="002F6EBD"/>
    <w:rsid w:val="003071B3"/>
    <w:rsid w:val="00322AFF"/>
    <w:rsid w:val="00326850"/>
    <w:rsid w:val="00326B98"/>
    <w:rsid w:val="00337928"/>
    <w:rsid w:val="00342023"/>
    <w:rsid w:val="00352C26"/>
    <w:rsid w:val="00354F43"/>
    <w:rsid w:val="0036211A"/>
    <w:rsid w:val="0036712B"/>
    <w:rsid w:val="003728AF"/>
    <w:rsid w:val="00375D63"/>
    <w:rsid w:val="00382FF7"/>
    <w:rsid w:val="00385553"/>
    <w:rsid w:val="003A2ED1"/>
    <w:rsid w:val="003A61FF"/>
    <w:rsid w:val="003B5B7B"/>
    <w:rsid w:val="003C579D"/>
    <w:rsid w:val="003D54FF"/>
    <w:rsid w:val="00404528"/>
    <w:rsid w:val="0044026B"/>
    <w:rsid w:val="004514BE"/>
    <w:rsid w:val="00454390"/>
    <w:rsid w:val="00465CCA"/>
    <w:rsid w:val="0046719D"/>
    <w:rsid w:val="00470A9D"/>
    <w:rsid w:val="00475109"/>
    <w:rsid w:val="004764A2"/>
    <w:rsid w:val="00482E22"/>
    <w:rsid w:val="00493695"/>
    <w:rsid w:val="004A5BC5"/>
    <w:rsid w:val="004B4EFE"/>
    <w:rsid w:val="004B59A4"/>
    <w:rsid w:val="004C07EF"/>
    <w:rsid w:val="004C49D1"/>
    <w:rsid w:val="004F12C7"/>
    <w:rsid w:val="004F62D6"/>
    <w:rsid w:val="005024CA"/>
    <w:rsid w:val="00503951"/>
    <w:rsid w:val="00506D58"/>
    <w:rsid w:val="0051644B"/>
    <w:rsid w:val="00534FD8"/>
    <w:rsid w:val="00537957"/>
    <w:rsid w:val="00564EE3"/>
    <w:rsid w:val="00570785"/>
    <w:rsid w:val="005865C7"/>
    <w:rsid w:val="005B3AEE"/>
    <w:rsid w:val="005C4709"/>
    <w:rsid w:val="005D04A0"/>
    <w:rsid w:val="005F5465"/>
    <w:rsid w:val="00601136"/>
    <w:rsid w:val="00624025"/>
    <w:rsid w:val="00634885"/>
    <w:rsid w:val="00642C8E"/>
    <w:rsid w:val="0064418D"/>
    <w:rsid w:val="006441EE"/>
    <w:rsid w:val="00650023"/>
    <w:rsid w:val="00651DBA"/>
    <w:rsid w:val="006600F1"/>
    <w:rsid w:val="00663EA2"/>
    <w:rsid w:val="0069003A"/>
    <w:rsid w:val="006B5173"/>
    <w:rsid w:val="006C29E5"/>
    <w:rsid w:val="006C417A"/>
    <w:rsid w:val="006C421B"/>
    <w:rsid w:val="006E6698"/>
    <w:rsid w:val="00726B7E"/>
    <w:rsid w:val="007348F9"/>
    <w:rsid w:val="007762EA"/>
    <w:rsid w:val="007A0424"/>
    <w:rsid w:val="007C6192"/>
    <w:rsid w:val="007F2265"/>
    <w:rsid w:val="00800962"/>
    <w:rsid w:val="008136E3"/>
    <w:rsid w:val="00830687"/>
    <w:rsid w:val="008611BE"/>
    <w:rsid w:val="008724CA"/>
    <w:rsid w:val="0088078B"/>
    <w:rsid w:val="008827AF"/>
    <w:rsid w:val="008A1C82"/>
    <w:rsid w:val="008D0B11"/>
    <w:rsid w:val="008E1902"/>
    <w:rsid w:val="00931D8B"/>
    <w:rsid w:val="009430B7"/>
    <w:rsid w:val="009624DF"/>
    <w:rsid w:val="009775E2"/>
    <w:rsid w:val="00981DF8"/>
    <w:rsid w:val="009967B4"/>
    <w:rsid w:val="009A25B1"/>
    <w:rsid w:val="009B6501"/>
    <w:rsid w:val="009C0785"/>
    <w:rsid w:val="009C2A82"/>
    <w:rsid w:val="009C42A1"/>
    <w:rsid w:val="009C6AD3"/>
    <w:rsid w:val="009D3A20"/>
    <w:rsid w:val="009F16F4"/>
    <w:rsid w:val="009F38C4"/>
    <w:rsid w:val="009F6241"/>
    <w:rsid w:val="009F6E94"/>
    <w:rsid w:val="00A06C58"/>
    <w:rsid w:val="00A20F90"/>
    <w:rsid w:val="00A47F48"/>
    <w:rsid w:val="00A90E8C"/>
    <w:rsid w:val="00AF35A2"/>
    <w:rsid w:val="00AF3EF4"/>
    <w:rsid w:val="00AF76F3"/>
    <w:rsid w:val="00B0760B"/>
    <w:rsid w:val="00B0782A"/>
    <w:rsid w:val="00B158BD"/>
    <w:rsid w:val="00B259A6"/>
    <w:rsid w:val="00B305C0"/>
    <w:rsid w:val="00B54330"/>
    <w:rsid w:val="00B61451"/>
    <w:rsid w:val="00B8609C"/>
    <w:rsid w:val="00B94F57"/>
    <w:rsid w:val="00BA0DA8"/>
    <w:rsid w:val="00BB0376"/>
    <w:rsid w:val="00BC65BF"/>
    <w:rsid w:val="00C34EA3"/>
    <w:rsid w:val="00C453A9"/>
    <w:rsid w:val="00C8386D"/>
    <w:rsid w:val="00C84E5A"/>
    <w:rsid w:val="00CA0BD9"/>
    <w:rsid w:val="00CA1EE1"/>
    <w:rsid w:val="00CB11CE"/>
    <w:rsid w:val="00CC6F5A"/>
    <w:rsid w:val="00CE632E"/>
    <w:rsid w:val="00D01247"/>
    <w:rsid w:val="00D06476"/>
    <w:rsid w:val="00D13CB1"/>
    <w:rsid w:val="00D22226"/>
    <w:rsid w:val="00D33659"/>
    <w:rsid w:val="00D71ABD"/>
    <w:rsid w:val="00D71DB1"/>
    <w:rsid w:val="00D74A6B"/>
    <w:rsid w:val="00D86464"/>
    <w:rsid w:val="00D86E5B"/>
    <w:rsid w:val="00D90CA2"/>
    <w:rsid w:val="00DB0731"/>
    <w:rsid w:val="00DB22F8"/>
    <w:rsid w:val="00DB447A"/>
    <w:rsid w:val="00DC0F1B"/>
    <w:rsid w:val="00DC6021"/>
    <w:rsid w:val="00DD6E86"/>
    <w:rsid w:val="00DF7FEA"/>
    <w:rsid w:val="00E01B93"/>
    <w:rsid w:val="00E136B4"/>
    <w:rsid w:val="00E1706A"/>
    <w:rsid w:val="00E2448E"/>
    <w:rsid w:val="00E246C8"/>
    <w:rsid w:val="00E42A93"/>
    <w:rsid w:val="00E70EBD"/>
    <w:rsid w:val="00E73B01"/>
    <w:rsid w:val="00E8032B"/>
    <w:rsid w:val="00E905A8"/>
    <w:rsid w:val="00E91084"/>
    <w:rsid w:val="00E91B85"/>
    <w:rsid w:val="00E91BA2"/>
    <w:rsid w:val="00EA583B"/>
    <w:rsid w:val="00EA6158"/>
    <w:rsid w:val="00EC2506"/>
    <w:rsid w:val="00EF10A5"/>
    <w:rsid w:val="00EF3E56"/>
    <w:rsid w:val="00F31A94"/>
    <w:rsid w:val="00F733DF"/>
    <w:rsid w:val="00F76CB6"/>
    <w:rsid w:val="00F93136"/>
    <w:rsid w:val="00FD7493"/>
    <w:rsid w:val="00FE6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EAC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 w:val="22"/>
        <w:szCs w:val="22"/>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ocked="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unhideWhenUsed="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ocked="1"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1"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locked="1"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ocked="1"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locked="1"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unhideWhenUsed="1" w:qFormat="1"/>
    <w:lsdException w:name="Intense Emphasis" w:uiPriority="3" w:qFormat="1"/>
    <w:lsdException w:name="Subtle Reference" w:uiPriority="31" w:unhideWhenUsed="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2F8"/>
    <w:pPr>
      <w:overflowPunct w:val="0"/>
      <w:autoSpaceDE w:val="0"/>
      <w:autoSpaceDN w:val="0"/>
      <w:adjustRightInd w:val="0"/>
      <w:jc w:val="both"/>
      <w:textAlignment w:val="baseline"/>
    </w:pPr>
  </w:style>
  <w:style w:type="paragraph" w:styleId="Heading1">
    <w:name w:val="heading 1"/>
    <w:basedOn w:val="Normal"/>
    <w:next w:val="Normal"/>
    <w:qFormat/>
    <w:rsid w:val="00CA0BD9"/>
    <w:pPr>
      <w:keepNext/>
      <w:keepLines/>
      <w:pageBreakBefore/>
      <w:numPr>
        <w:numId w:val="16"/>
      </w:numPr>
      <w:spacing w:before="120" w:after="360"/>
      <w:jc w:val="left"/>
      <w:outlineLvl w:val="0"/>
    </w:pPr>
    <w:rPr>
      <w:rFonts w:cs="Arial"/>
      <w:b/>
      <w:caps/>
      <w:spacing w:val="60"/>
      <w:sz w:val="28"/>
    </w:rPr>
  </w:style>
  <w:style w:type="paragraph" w:styleId="Heading2">
    <w:name w:val="heading 2"/>
    <w:basedOn w:val="Heading1"/>
    <w:next w:val="Normal"/>
    <w:uiPriority w:val="1"/>
    <w:qFormat/>
    <w:rsid w:val="00CA0BD9"/>
    <w:pPr>
      <w:pageBreakBefore w:val="0"/>
      <w:numPr>
        <w:ilvl w:val="1"/>
        <w:numId w:val="17"/>
      </w:numPr>
      <w:spacing w:before="360" w:after="240"/>
      <w:outlineLvl w:val="1"/>
    </w:pPr>
    <w:rPr>
      <w:caps w:val="0"/>
      <w:sz w:val="24"/>
    </w:rPr>
  </w:style>
  <w:style w:type="paragraph" w:styleId="Heading3">
    <w:name w:val="heading 3"/>
    <w:basedOn w:val="Heading2"/>
    <w:next w:val="Normal"/>
    <w:uiPriority w:val="1"/>
    <w:semiHidden/>
    <w:unhideWhenUsed/>
    <w:qFormat/>
    <w:rsid w:val="00CA0BD9"/>
    <w:pPr>
      <w:numPr>
        <w:ilvl w:val="2"/>
        <w:numId w:val="18"/>
      </w:numPr>
      <w:outlineLvl w:val="2"/>
    </w:pPr>
    <w:rPr>
      <w:sz w:val="22"/>
    </w:rPr>
  </w:style>
  <w:style w:type="paragraph" w:styleId="Heading4">
    <w:name w:val="heading 4"/>
    <w:basedOn w:val="Heading3"/>
    <w:next w:val="Normal"/>
    <w:uiPriority w:val="1"/>
    <w:semiHidden/>
    <w:unhideWhenUsed/>
    <w:qFormat/>
    <w:rsid w:val="009F6E94"/>
    <w:pPr>
      <w:numPr>
        <w:ilvl w:val="3"/>
        <w:numId w:val="19"/>
      </w:numPr>
      <w:tabs>
        <w:tab w:val="clear" w:pos="1440"/>
        <w:tab w:val="left" w:pos="1134"/>
      </w:tabs>
      <w:spacing w:before="240"/>
      <w:outlineLvl w:val="3"/>
    </w:pPr>
    <w:rPr>
      <w:spacing w:val="0"/>
    </w:rPr>
  </w:style>
  <w:style w:type="paragraph" w:styleId="Heading5">
    <w:name w:val="heading 5"/>
    <w:basedOn w:val="Heading4"/>
    <w:next w:val="Normal"/>
    <w:uiPriority w:val="1"/>
    <w:semiHidden/>
    <w:unhideWhenUsed/>
    <w:qFormat/>
    <w:rsid w:val="009F6E94"/>
    <w:pPr>
      <w:numPr>
        <w:ilvl w:val="4"/>
        <w:numId w:val="20"/>
      </w:numPr>
      <w:tabs>
        <w:tab w:val="clear" w:pos="1008"/>
      </w:tabs>
      <w:outlineLvl w:val="4"/>
    </w:pPr>
    <w:rPr>
      <w:b w:val="0"/>
    </w:rPr>
  </w:style>
  <w:style w:type="paragraph" w:styleId="Heading6">
    <w:name w:val="heading 6"/>
    <w:basedOn w:val="Heading5"/>
    <w:next w:val="Normal"/>
    <w:uiPriority w:val="1"/>
    <w:semiHidden/>
    <w:unhideWhenUsed/>
    <w:qFormat/>
    <w:rsid w:val="00CA0BD9"/>
    <w:pPr>
      <w:numPr>
        <w:ilvl w:val="5"/>
        <w:numId w:val="6"/>
      </w:numPr>
      <w:ind w:left="1151" w:hanging="1151"/>
      <w:outlineLvl w:val="5"/>
    </w:pPr>
  </w:style>
  <w:style w:type="paragraph" w:styleId="Heading7">
    <w:name w:val="heading 7"/>
    <w:basedOn w:val="Heading6"/>
    <w:next w:val="Normal"/>
    <w:uiPriority w:val="1"/>
    <w:semiHidden/>
    <w:unhideWhenUsed/>
    <w:qFormat/>
    <w:rsid w:val="00CA0BD9"/>
    <w:pPr>
      <w:numPr>
        <w:ilvl w:val="6"/>
      </w:numPr>
      <w:tabs>
        <w:tab w:val="left" w:pos="1701"/>
      </w:tabs>
      <w:ind w:left="1298" w:hanging="1298"/>
      <w:outlineLvl w:val="6"/>
    </w:pPr>
  </w:style>
  <w:style w:type="paragraph" w:styleId="Heading8">
    <w:name w:val="heading 8"/>
    <w:basedOn w:val="Heading7"/>
    <w:next w:val="Normal"/>
    <w:uiPriority w:val="1"/>
    <w:semiHidden/>
    <w:unhideWhenUsed/>
    <w:qFormat/>
    <w:rsid w:val="00CA0BD9"/>
    <w:pPr>
      <w:numPr>
        <w:ilvl w:val="7"/>
      </w:numPr>
      <w:tabs>
        <w:tab w:val="clear" w:pos="1440"/>
      </w:tabs>
      <w:spacing w:after="120"/>
      <w:outlineLvl w:val="7"/>
    </w:pPr>
  </w:style>
  <w:style w:type="paragraph" w:styleId="Heading9">
    <w:name w:val="heading 9"/>
    <w:basedOn w:val="Heading8"/>
    <w:next w:val="Normal"/>
    <w:uiPriority w:val="1"/>
    <w:semiHidden/>
    <w:unhideWhenUsed/>
    <w:qFormat/>
    <w:rsid w:val="00CA0BD9"/>
    <w:pPr>
      <w:numPr>
        <w:ilvl w:val="8"/>
      </w:numPr>
      <w:tabs>
        <w:tab w:val="clear" w:pos="1584"/>
      </w:tabs>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Heading4"/>
    <w:next w:val="Normal"/>
    <w:uiPriority w:val="99"/>
    <w:semiHidden/>
    <w:rsid w:val="009F6E94"/>
    <w:pPr>
      <w:numPr>
        <w:ilvl w:val="0"/>
        <w:numId w:val="0"/>
      </w:numPr>
      <w:tabs>
        <w:tab w:val="right" w:pos="7371"/>
      </w:tabs>
      <w:spacing w:before="0" w:after="0"/>
      <w:ind w:left="1134" w:right="567" w:hanging="1134"/>
    </w:pPr>
    <w:rPr>
      <w:b w:val="0"/>
    </w:rPr>
  </w:style>
  <w:style w:type="paragraph" w:styleId="TOC3">
    <w:name w:val="toc 3"/>
    <w:basedOn w:val="Heading3"/>
    <w:uiPriority w:val="99"/>
    <w:semiHidden/>
    <w:rsid w:val="009F6E94"/>
    <w:pPr>
      <w:keepNext w:val="0"/>
      <w:keepLines w:val="0"/>
      <w:widowControl w:val="0"/>
      <w:numPr>
        <w:ilvl w:val="0"/>
        <w:numId w:val="0"/>
      </w:numPr>
      <w:tabs>
        <w:tab w:val="right" w:pos="7371"/>
      </w:tabs>
      <w:spacing w:before="0" w:after="0"/>
      <w:ind w:left="1134" w:right="567" w:hanging="1134"/>
      <w:outlineLvl w:val="9"/>
    </w:pPr>
    <w:rPr>
      <w:b w:val="0"/>
      <w:spacing w:val="0"/>
    </w:rPr>
  </w:style>
  <w:style w:type="paragraph" w:styleId="TOC2">
    <w:name w:val="toc 2"/>
    <w:basedOn w:val="Heading2"/>
    <w:uiPriority w:val="99"/>
    <w:semiHidden/>
    <w:rsid w:val="009F6E94"/>
    <w:pPr>
      <w:keepNext w:val="0"/>
      <w:keepLines w:val="0"/>
      <w:widowControl w:val="0"/>
      <w:numPr>
        <w:ilvl w:val="0"/>
        <w:numId w:val="0"/>
      </w:numPr>
      <w:tabs>
        <w:tab w:val="left" w:pos="1134"/>
        <w:tab w:val="right" w:pos="7371"/>
      </w:tabs>
      <w:spacing w:before="120" w:after="0"/>
      <w:ind w:left="1134" w:right="567" w:hanging="1134"/>
      <w:outlineLvl w:val="9"/>
    </w:pPr>
    <w:rPr>
      <w:b w:val="0"/>
      <w:spacing w:val="0"/>
      <w:sz w:val="22"/>
    </w:rPr>
  </w:style>
  <w:style w:type="paragraph" w:styleId="TOC1">
    <w:name w:val="toc 1"/>
    <w:basedOn w:val="Heading1"/>
    <w:next w:val="TOC2"/>
    <w:uiPriority w:val="99"/>
    <w:semiHidden/>
    <w:rsid w:val="009F6E94"/>
    <w:pPr>
      <w:pageBreakBefore w:val="0"/>
      <w:numPr>
        <w:numId w:val="0"/>
      </w:numPr>
      <w:tabs>
        <w:tab w:val="left" w:pos="1134"/>
        <w:tab w:val="right" w:pos="7371"/>
      </w:tabs>
      <w:spacing w:after="120"/>
      <w:ind w:left="1134" w:right="567" w:hanging="1134"/>
      <w:outlineLvl w:val="9"/>
    </w:pPr>
    <w:rPr>
      <w:spacing w:val="0"/>
      <w:sz w:val="22"/>
    </w:rPr>
  </w:style>
  <w:style w:type="paragraph" w:styleId="Index3">
    <w:name w:val="index 3"/>
    <w:basedOn w:val="Normal"/>
    <w:next w:val="Normal"/>
    <w:uiPriority w:val="99"/>
    <w:semiHidden/>
    <w:rsid w:val="009F6E94"/>
    <w:pPr>
      <w:ind w:left="567"/>
    </w:pPr>
    <w:rPr>
      <w:sz w:val="20"/>
    </w:rPr>
  </w:style>
  <w:style w:type="paragraph" w:styleId="Index2">
    <w:name w:val="index 2"/>
    <w:basedOn w:val="Normal"/>
    <w:next w:val="Normal"/>
    <w:uiPriority w:val="99"/>
    <w:semiHidden/>
    <w:rsid w:val="009F6E94"/>
    <w:pPr>
      <w:ind w:left="283"/>
    </w:pPr>
  </w:style>
  <w:style w:type="paragraph" w:styleId="Index1">
    <w:name w:val="index 1"/>
    <w:basedOn w:val="Normal"/>
    <w:next w:val="Normal"/>
    <w:uiPriority w:val="99"/>
    <w:semiHidden/>
    <w:rsid w:val="009F6E94"/>
  </w:style>
  <w:style w:type="character" w:styleId="LineNumber">
    <w:name w:val="line number"/>
    <w:basedOn w:val="DefaultParagraphFont"/>
    <w:uiPriority w:val="99"/>
    <w:semiHidden/>
    <w:rsid w:val="009F6E94"/>
  </w:style>
  <w:style w:type="paragraph" w:styleId="IndexHeading">
    <w:name w:val="index heading"/>
    <w:basedOn w:val="Normal"/>
    <w:next w:val="Normal"/>
    <w:uiPriority w:val="99"/>
    <w:semiHidden/>
    <w:rsid w:val="009F6E94"/>
  </w:style>
  <w:style w:type="paragraph" w:styleId="Footer">
    <w:name w:val="footer"/>
    <w:basedOn w:val="Normal"/>
    <w:link w:val="FooterChar"/>
    <w:uiPriority w:val="99"/>
    <w:semiHidden/>
    <w:rsid w:val="009F6E94"/>
    <w:pPr>
      <w:tabs>
        <w:tab w:val="right" w:pos="7371"/>
      </w:tabs>
      <w:jc w:val="right"/>
    </w:pPr>
  </w:style>
  <w:style w:type="paragraph" w:styleId="Header">
    <w:name w:val="header"/>
    <w:basedOn w:val="Normal"/>
    <w:link w:val="HeaderChar"/>
    <w:uiPriority w:val="99"/>
    <w:rsid w:val="009F6E94"/>
    <w:pPr>
      <w:jc w:val="right"/>
    </w:pPr>
  </w:style>
  <w:style w:type="character" w:styleId="FootnoteReference">
    <w:name w:val="footnote reference"/>
    <w:basedOn w:val="DefaultParagraphFont"/>
    <w:uiPriority w:val="99"/>
    <w:semiHidden/>
    <w:rsid w:val="009F6E94"/>
    <w:rPr>
      <w:rFonts w:ascii="Arial" w:hAnsi="Arial"/>
      <w:position w:val="6"/>
      <w:sz w:val="16"/>
    </w:rPr>
  </w:style>
  <w:style w:type="paragraph" w:styleId="FootnoteText">
    <w:name w:val="footnote text"/>
    <w:basedOn w:val="Normal"/>
    <w:uiPriority w:val="99"/>
    <w:semiHidden/>
    <w:rsid w:val="009F6E94"/>
    <w:pPr>
      <w:tabs>
        <w:tab w:val="left" w:pos="284"/>
      </w:tabs>
      <w:ind w:left="284" w:hanging="284"/>
      <w:jc w:val="left"/>
    </w:pPr>
    <w:rPr>
      <w:sz w:val="18"/>
    </w:rPr>
  </w:style>
  <w:style w:type="paragraph" w:styleId="BalloonText">
    <w:name w:val="Balloon Text"/>
    <w:basedOn w:val="Normal"/>
    <w:link w:val="BalloonTextChar"/>
    <w:uiPriority w:val="99"/>
    <w:semiHidden/>
    <w:rsid w:val="00D06476"/>
    <w:rPr>
      <w:rFonts w:ascii="Tahoma" w:hAnsi="Tahoma" w:cs="Tahoma"/>
      <w:sz w:val="16"/>
      <w:szCs w:val="16"/>
    </w:rPr>
  </w:style>
  <w:style w:type="paragraph" w:styleId="Caption">
    <w:name w:val="caption"/>
    <w:basedOn w:val="Normal"/>
    <w:next w:val="Normal"/>
    <w:uiPriority w:val="99"/>
    <w:semiHidden/>
    <w:qFormat/>
    <w:rsid w:val="009F6E94"/>
    <w:pPr>
      <w:tabs>
        <w:tab w:val="left" w:pos="1701"/>
      </w:tabs>
      <w:spacing w:after="220"/>
      <w:ind w:left="1701" w:hanging="1701"/>
      <w:jc w:val="left"/>
    </w:pPr>
    <w:rPr>
      <w:b/>
      <w:bCs/>
    </w:rPr>
  </w:style>
  <w:style w:type="paragraph" w:styleId="TableofFigures">
    <w:name w:val="table of figures"/>
    <w:basedOn w:val="Normal"/>
    <w:next w:val="Normal"/>
    <w:uiPriority w:val="99"/>
    <w:semiHidden/>
    <w:rsid w:val="009F6E94"/>
    <w:pPr>
      <w:tabs>
        <w:tab w:val="left" w:pos="1134"/>
        <w:tab w:val="right" w:pos="7371"/>
      </w:tabs>
      <w:ind w:left="1134" w:right="567" w:hanging="1134"/>
      <w:jc w:val="left"/>
    </w:pPr>
  </w:style>
  <w:style w:type="character" w:styleId="Hyperlink">
    <w:name w:val="Hyperlink"/>
    <w:basedOn w:val="DefaultParagraphFont"/>
    <w:uiPriority w:val="99"/>
    <w:semiHidden/>
    <w:rsid w:val="009F6E94"/>
    <w:rPr>
      <w:color w:val="0000FF"/>
      <w:u w:val="single"/>
    </w:rPr>
  </w:style>
  <w:style w:type="paragraph" w:customStyle="1" w:styleId="Quellenangabe">
    <w:name w:val="Quellenangabe"/>
    <w:basedOn w:val="Normal"/>
    <w:next w:val="Normal"/>
    <w:uiPriority w:val="99"/>
    <w:semiHidden/>
    <w:rsid w:val="009F6E94"/>
    <w:pPr>
      <w:tabs>
        <w:tab w:val="left" w:pos="851"/>
      </w:tabs>
      <w:spacing w:before="60" w:after="220"/>
      <w:ind w:left="851" w:hanging="851"/>
      <w:jc w:val="left"/>
    </w:pPr>
    <w:rPr>
      <w:sz w:val="18"/>
    </w:rPr>
  </w:style>
  <w:style w:type="paragraph" w:styleId="TOC5">
    <w:name w:val="toc 5"/>
    <w:basedOn w:val="Heading5"/>
    <w:next w:val="Normal"/>
    <w:uiPriority w:val="99"/>
    <w:semiHidden/>
    <w:rsid w:val="009F6E94"/>
    <w:pPr>
      <w:numPr>
        <w:ilvl w:val="0"/>
        <w:numId w:val="0"/>
      </w:numPr>
      <w:ind w:right="567"/>
    </w:pPr>
  </w:style>
  <w:style w:type="paragraph" w:customStyle="1" w:styleId="Tabellenstandard">
    <w:name w:val="Tabellenstandard"/>
    <w:basedOn w:val="Normal"/>
    <w:uiPriority w:val="99"/>
    <w:semiHidden/>
    <w:rsid w:val="00265FD1"/>
    <w:pPr>
      <w:spacing w:before="48" w:after="48"/>
      <w:contextualSpacing/>
      <w:jc w:val="left"/>
    </w:pPr>
    <w:rPr>
      <w:sz w:val="18"/>
    </w:rPr>
  </w:style>
  <w:style w:type="paragraph" w:styleId="ListBullet">
    <w:name w:val="List Bullet"/>
    <w:basedOn w:val="Normal"/>
    <w:uiPriority w:val="99"/>
    <w:semiHidden/>
    <w:rsid w:val="009F6E94"/>
    <w:pPr>
      <w:tabs>
        <w:tab w:val="num" w:pos="360"/>
      </w:tabs>
      <w:ind w:left="360" w:hanging="360"/>
      <w:jc w:val="left"/>
    </w:pPr>
  </w:style>
  <w:style w:type="paragraph" w:styleId="ListBullet2">
    <w:name w:val="List Bullet 2"/>
    <w:basedOn w:val="ListBullet"/>
    <w:uiPriority w:val="99"/>
    <w:semiHidden/>
    <w:rsid w:val="009F6E94"/>
    <w:pPr>
      <w:tabs>
        <w:tab w:val="clear" w:pos="360"/>
        <w:tab w:val="num" w:pos="643"/>
      </w:tabs>
      <w:ind w:left="643"/>
    </w:pPr>
  </w:style>
  <w:style w:type="paragraph" w:styleId="ListBullet3">
    <w:name w:val="List Bullet 3"/>
    <w:basedOn w:val="ListBullet2"/>
    <w:uiPriority w:val="99"/>
    <w:semiHidden/>
    <w:rsid w:val="009F6E94"/>
    <w:pPr>
      <w:tabs>
        <w:tab w:val="clear" w:pos="643"/>
        <w:tab w:val="num" w:pos="926"/>
      </w:tabs>
      <w:ind w:left="926"/>
    </w:pPr>
  </w:style>
  <w:style w:type="character" w:customStyle="1" w:styleId="BalloonTextChar">
    <w:name w:val="Balloon Text Char"/>
    <w:basedOn w:val="DefaultParagraphFont"/>
    <w:link w:val="BalloonText"/>
    <w:uiPriority w:val="99"/>
    <w:semiHidden/>
    <w:rsid w:val="000C2870"/>
    <w:rPr>
      <w:rFonts w:ascii="Tahoma" w:hAnsi="Tahoma" w:cs="Tahoma"/>
      <w:sz w:val="16"/>
      <w:szCs w:val="16"/>
    </w:rPr>
  </w:style>
  <w:style w:type="character" w:styleId="PageNumber">
    <w:name w:val="page number"/>
    <w:basedOn w:val="DefaultParagraphFont"/>
    <w:uiPriority w:val="99"/>
    <w:semiHidden/>
    <w:rsid w:val="009F6E94"/>
  </w:style>
  <w:style w:type="paragraph" w:customStyle="1" w:styleId="Kolumne">
    <w:name w:val="Kolumne"/>
    <w:basedOn w:val="Normal"/>
    <w:uiPriority w:val="2"/>
    <w:rsid w:val="009F6E94"/>
    <w:pPr>
      <w:framePr w:w="1985" w:vSpace="142" w:wrap="around" w:vAnchor="text" w:hAnchor="page" w:x="1135" w:y="1"/>
      <w:jc w:val="left"/>
    </w:pPr>
    <w:rPr>
      <w:b/>
    </w:rPr>
  </w:style>
  <w:style w:type="numbering" w:customStyle="1" w:styleId="GFABullit1">
    <w:name w:val="GFA Bullit1"/>
    <w:uiPriority w:val="99"/>
    <w:rsid w:val="00D71ABD"/>
    <w:pPr>
      <w:numPr>
        <w:numId w:val="21"/>
      </w:numPr>
    </w:pPr>
  </w:style>
  <w:style w:type="character" w:customStyle="1" w:styleId="GFAleichteHervorhebung">
    <w:name w:val="GFA leichte Hervorhebung"/>
    <w:basedOn w:val="DefaultParagraphFont"/>
    <w:uiPriority w:val="3"/>
    <w:qFormat/>
    <w:rsid w:val="00981DF8"/>
    <w:rPr>
      <w:i/>
      <w:color w:val="148DCD" w:themeColor="accent1"/>
    </w:rPr>
  </w:style>
  <w:style w:type="table" w:customStyle="1" w:styleId="GFAMittelblau">
    <w:name w:val="GFA Mittelblau"/>
    <w:basedOn w:val="MediumGrid3-Accent2"/>
    <w:uiPriority w:val="99"/>
    <w:qFormat/>
    <w:rsid w:val="0020470B"/>
    <w:pPr>
      <w:jc w:val="center"/>
    </w:pPr>
    <w:rPr>
      <w:rFonts w:ascii="Arial Narrow" w:hAnsi="Arial Narrow"/>
      <w:b/>
      <w:color w:val="1F497D" w:themeColor="text2"/>
      <w:sz w:val="18"/>
      <w:szCs w:val="19"/>
      <w:lang w:val="de-DE" w:eastAsia="en-US"/>
    </w:rPr>
    <w:tblPr>
      <w:tblCellMar>
        <w:top w:w="28" w:type="dxa"/>
        <w:bottom w:w="28" w:type="dxa"/>
      </w:tblCellMar>
    </w:tblPr>
    <w:tcPr>
      <w:shd w:val="clear" w:color="auto" w:fill="E4EDF8" w:themeFill="accent2" w:themeFillTint="3F"/>
      <w:vAlign w:val="center"/>
    </w:tcPr>
    <w:tblStylePr w:type="firstRow">
      <w:pPr>
        <w:wordWrap/>
        <w:jc w:val="left"/>
        <w:outlineLvl w:val="9"/>
      </w:pPr>
      <w:rPr>
        <w:rFonts w:ascii="Arial Narrow" w:hAnsi="Arial Narrow"/>
        <w:b/>
        <w:bCs/>
        <w:i w:val="0"/>
        <w:iCs w:val="0"/>
        <w:color w:val="FFFFFF" w:themeColor="background1"/>
        <w:sz w:val="18"/>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rFonts w:ascii="Arial Narrow" w:hAnsi="Arial Narrow"/>
        <w:b/>
        <w:bCs/>
        <w:i w:val="0"/>
        <w:iCs w:val="0"/>
        <w:caps/>
        <w:smallCaps w:val="0"/>
        <w:color w:val="1F497D" w:themeColor="text2"/>
        <w:sz w:val="18"/>
      </w:rPr>
      <w:tblPr/>
      <w:tcPr>
        <w:tcBorders>
          <w:left w:val="single" w:sz="8" w:space="0" w:color="FFFFFF" w:themeColor="background1"/>
          <w:right w:val="single" w:sz="24" w:space="0" w:color="FFFFFF" w:themeColor="background1"/>
          <w:insideH w:val="nil"/>
          <w:insideV w:val="nil"/>
        </w:tcBorders>
        <w:shd w:val="clear" w:color="auto" w:fill="D4E3F3" w:themeFill="accent2" w:themeFillTint="6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F1F9" w:themeFill="accent2" w:themeFillTint="33"/>
      </w:tcPr>
    </w:tblStylePr>
    <w:tblStylePr w:type="band2Vert">
      <w:tblPr/>
      <w:tcPr>
        <w:shd w:val="clear" w:color="auto" w:fill="D4E3F3" w:themeFill="accent2" w:themeFillTint="6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3F3" w:themeFill="accent2" w:themeFillTint="66"/>
      </w:tcPr>
    </w:tblStylePr>
    <w:tblStylePr w:type="band2Horz">
      <w:tblPr/>
      <w:tcPr>
        <w:shd w:val="clear" w:color="auto" w:fill="E9F1F9" w:themeFill="accent2" w:themeFillTint="33"/>
      </w:tcPr>
    </w:tblStylePr>
  </w:style>
  <w:style w:type="table" w:styleId="MediumGrid3-Accent2">
    <w:name w:val="Medium Grid 3 Accent 2"/>
    <w:basedOn w:val="TableNormal"/>
    <w:uiPriority w:val="69"/>
    <w:rsid w:val="00D71AB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D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BA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DC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DCF1" w:themeFill="accent2" w:themeFillTint="7F"/>
      </w:tcPr>
    </w:tblStylePr>
  </w:style>
  <w:style w:type="table" w:customStyle="1" w:styleId="GFAhell">
    <w:name w:val="GFA hell"/>
    <w:basedOn w:val="LightList-Accent2"/>
    <w:uiPriority w:val="99"/>
    <w:qFormat/>
    <w:rsid w:val="00D71ABD"/>
    <w:rPr>
      <w:rFonts w:ascii="Arial Narrow" w:eastAsiaTheme="minorHAnsi" w:hAnsi="Arial Narrow" w:cstheme="minorBidi"/>
      <w:sz w:val="18"/>
      <w:szCs w:val="20"/>
      <w:lang w:val="de-DE" w:eastAsia="en-US"/>
    </w:rPr>
    <w:tblPr>
      <w:tblBorders>
        <w:top w:val="none" w:sz="0" w:space="0" w:color="auto"/>
        <w:left w:val="none" w:sz="0" w:space="0" w:color="auto"/>
        <w:bottom w:val="single" w:sz="6" w:space="0" w:color="E9F1F9" w:themeColor="accent2" w:themeTint="33"/>
        <w:right w:val="none" w:sz="0" w:space="0" w:color="auto"/>
        <w:insideH w:val="single" w:sz="6" w:space="0" w:color="E9F1F9" w:themeColor="accent2" w:themeTint="33"/>
        <w:insideV w:val="single" w:sz="6" w:space="0" w:color="E9F1F9" w:themeColor="accent2" w:themeTint="33"/>
      </w:tblBorders>
      <w:tblCellMar>
        <w:top w:w="17" w:type="dxa"/>
        <w:bottom w:w="17" w:type="dxa"/>
      </w:tblCellMar>
    </w:tblPr>
    <w:tcPr>
      <w:vAlign w:val="center"/>
    </w:tcPr>
    <w:tblStylePr w:type="firstRow">
      <w:pPr>
        <w:spacing w:before="0" w:after="0" w:line="240" w:lineRule="auto"/>
      </w:pPr>
      <w:rPr>
        <w:rFonts w:ascii="Arial Narrow" w:hAnsi="Arial Narrow"/>
        <w:b/>
        <w:bCs/>
        <w:i w:val="0"/>
        <w:caps/>
        <w:smallCaps w:val="0"/>
        <w:color w:val="1F497D" w:themeColor="text2"/>
        <w:spacing w:val="10"/>
        <w:sz w:val="18"/>
      </w:rPr>
      <w:tblPr/>
      <w:tcPr>
        <w:tcBorders>
          <w:top w:val="nil"/>
          <w:left w:val="nil"/>
          <w:bottom w:val="nil"/>
          <w:right w:val="nil"/>
          <w:insideH w:val="nil"/>
          <w:insideV w:val="nil"/>
        </w:tcBorders>
        <w:shd w:val="clear" w:color="auto" w:fill="D4E3F3" w:themeFill="accent2" w:themeFillTint="66"/>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Pr/>
      <w:tcPr>
        <w:tcBorders>
          <w:top w:val="single" w:sz="4" w:space="0" w:color="E9F1F9" w:themeColor="accent2" w:themeTint="33"/>
          <w:left w:val="nil"/>
          <w:bottom w:val="single" w:sz="4" w:space="0" w:color="E9F1F9" w:themeColor="accent2" w:themeTint="33"/>
          <w:right w:val="single" w:sz="4" w:space="0" w:color="E9F1F9" w:themeColor="accent2" w:themeTint="33"/>
          <w:insideH w:val="nil"/>
          <w:insideV w:val="nil"/>
          <w:tl2br w:val="nil"/>
          <w:tr2bl w:val="nil"/>
        </w:tcBorders>
      </w:tcPr>
    </w:tblStylePr>
    <w:tblStylePr w:type="lastCol">
      <w:rPr>
        <w:b/>
        <w:bCs/>
      </w:rPr>
      <w:tblPr/>
      <w:tcPr>
        <w:tcBorders>
          <w:top w:val="single" w:sz="4" w:space="0" w:color="E9F1F9" w:themeColor="accent2" w:themeTint="33"/>
          <w:left w:val="single" w:sz="4" w:space="0" w:color="E9F1F9" w:themeColor="accent2" w:themeTint="33"/>
          <w:bottom w:val="single" w:sz="4" w:space="0" w:color="E9F1F9" w:themeColor="accent2" w:themeTint="33"/>
          <w:right w:val="nil"/>
          <w:insideH w:val="nil"/>
          <w:insideV w:val="nil"/>
          <w:tl2br w:val="nil"/>
          <w:tr2bl w:val="nil"/>
        </w:tcBorders>
      </w:tcPr>
    </w:tblStylePr>
    <w:tblStylePr w:type="band1Vert">
      <w:rPr>
        <w:b w:val="0"/>
      </w:rPr>
      <w:tblPr/>
      <w:tcPr>
        <w:tcBorders>
          <w:top w:val="single" w:sz="4" w:space="0" w:color="E9F1F9" w:themeColor="accent2" w:themeTint="33"/>
          <w:left w:val="single" w:sz="4" w:space="0" w:color="E9F1F9" w:themeColor="accent2" w:themeTint="33"/>
          <w:bottom w:val="single" w:sz="4" w:space="0" w:color="E9F1F9" w:themeColor="accent2" w:themeTint="33"/>
          <w:right w:val="single" w:sz="4" w:space="0" w:color="E9F1F9" w:themeColor="accent2" w:themeTint="33"/>
          <w:insideH w:val="nil"/>
          <w:insideV w:val="nil"/>
          <w:tl2br w:val="nil"/>
          <w:tr2bl w:val="nil"/>
        </w:tcBorders>
      </w:tcPr>
    </w:tblStylePr>
    <w:tblStylePr w:type="band2Vert">
      <w:rPr>
        <w:b/>
      </w:rPr>
    </w:tblStylePr>
    <w:tblStylePr w:type="band1Horz">
      <w:rPr>
        <w:rFonts w:ascii="Arial Narrow" w:hAnsi="Arial Narrow"/>
        <w:b w:val="0"/>
        <w:i w:val="0"/>
        <w:sz w:val="18"/>
      </w:rPr>
      <w:tblPr/>
      <w:tcPr>
        <w:tcBorders>
          <w:top w:val="single" w:sz="4" w:space="0" w:color="E9F1F9" w:themeColor="accent2" w:themeTint="33"/>
          <w:left w:val="nil"/>
          <w:bottom w:val="single" w:sz="4" w:space="0" w:color="E9F1F9" w:themeColor="accent2" w:themeTint="33"/>
          <w:right w:val="nil"/>
          <w:insideV w:val="single" w:sz="4" w:space="0" w:color="E9F1F9" w:themeColor="accent2" w:themeTint="33"/>
        </w:tcBorders>
      </w:tcPr>
    </w:tblStylePr>
    <w:tblStylePr w:type="band2Horz">
      <w:rPr>
        <w:b/>
      </w:rPr>
      <w:tblPr/>
      <w:tcPr>
        <w:tcBorders>
          <w:top w:val="single" w:sz="4" w:space="0" w:color="E9F1F9" w:themeColor="accent2" w:themeTint="33"/>
          <w:left w:val="nil"/>
          <w:bottom w:val="single" w:sz="4" w:space="0" w:color="E9F1F9" w:themeColor="accent2" w:themeTint="33"/>
          <w:right w:val="nil"/>
          <w:insideH w:val="nil"/>
          <w:insideV w:val="single" w:sz="4" w:space="0" w:color="E9F1F9" w:themeColor="accent2" w:themeTint="33"/>
          <w:tl2br w:val="nil"/>
          <w:tr2bl w:val="nil"/>
        </w:tcBorders>
      </w:tcPr>
    </w:tblStylePr>
  </w:style>
  <w:style w:type="table" w:styleId="LightList-Accent2">
    <w:name w:val="Light List Accent 2"/>
    <w:basedOn w:val="TableNormal"/>
    <w:uiPriority w:val="61"/>
    <w:locked/>
    <w:rsid w:val="00D71ABD"/>
    <w:tblPr>
      <w:tblStyleRowBandSize w:val="1"/>
      <w:tblStyleColBandSize w:val="1"/>
      <w:tblBorders>
        <w:top w:val="single" w:sz="8" w:space="0" w:color="94BAE3" w:themeColor="accent2"/>
        <w:left w:val="single" w:sz="8" w:space="0" w:color="94BAE3" w:themeColor="accent2"/>
        <w:bottom w:val="single" w:sz="8" w:space="0" w:color="94BAE3" w:themeColor="accent2"/>
        <w:right w:val="single" w:sz="8" w:space="0" w:color="94BAE3" w:themeColor="accent2"/>
      </w:tblBorders>
    </w:tblPr>
    <w:tblStylePr w:type="firstRow">
      <w:pPr>
        <w:spacing w:before="0" w:after="0" w:line="240" w:lineRule="auto"/>
      </w:pPr>
      <w:rPr>
        <w:b/>
        <w:bCs/>
        <w:color w:val="FFFFFF" w:themeColor="background1"/>
      </w:rPr>
      <w:tblPr/>
      <w:tcPr>
        <w:shd w:val="clear" w:color="auto" w:fill="94BAE3" w:themeFill="accent2"/>
      </w:tcPr>
    </w:tblStylePr>
    <w:tblStylePr w:type="lastRow">
      <w:pPr>
        <w:spacing w:before="0" w:after="0" w:line="240" w:lineRule="auto"/>
      </w:pPr>
      <w:rPr>
        <w:b/>
        <w:bCs/>
      </w:rPr>
      <w:tblPr/>
      <w:tcPr>
        <w:tcBorders>
          <w:top w:val="double" w:sz="6" w:space="0" w:color="94BAE3" w:themeColor="accent2"/>
          <w:left w:val="single" w:sz="8" w:space="0" w:color="94BAE3" w:themeColor="accent2"/>
          <w:bottom w:val="single" w:sz="8" w:space="0" w:color="94BAE3" w:themeColor="accent2"/>
          <w:right w:val="single" w:sz="8" w:space="0" w:color="94BAE3" w:themeColor="accent2"/>
        </w:tcBorders>
      </w:tcPr>
    </w:tblStylePr>
    <w:tblStylePr w:type="firstCol">
      <w:rPr>
        <w:b/>
        <w:bCs/>
      </w:rPr>
    </w:tblStylePr>
    <w:tblStylePr w:type="lastCol">
      <w:rPr>
        <w:b/>
        <w:bCs/>
      </w:rPr>
    </w:tblStylePr>
    <w:tblStylePr w:type="band1Vert">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tblStylePr w:type="band1Horz">
      <w:tblPr/>
      <w:tcPr>
        <w:tcBorders>
          <w:top w:val="single" w:sz="8" w:space="0" w:color="94BAE3" w:themeColor="accent2"/>
          <w:left w:val="single" w:sz="8" w:space="0" w:color="94BAE3" w:themeColor="accent2"/>
          <w:bottom w:val="single" w:sz="8" w:space="0" w:color="94BAE3" w:themeColor="accent2"/>
          <w:right w:val="single" w:sz="8" w:space="0" w:color="94BAE3" w:themeColor="accent2"/>
        </w:tcBorders>
      </w:tcPr>
    </w:tblStylePr>
  </w:style>
  <w:style w:type="table" w:styleId="TableGrid">
    <w:name w:val="Table Grid"/>
    <w:basedOn w:val="TableNormal"/>
    <w:uiPriority w:val="59"/>
    <w:rsid w:val="00D71A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link w:val="ListParagraphChar"/>
    <w:uiPriority w:val="34"/>
    <w:unhideWhenUsed/>
    <w:qFormat/>
    <w:rsid w:val="00981DF8"/>
    <w:pPr>
      <w:ind w:left="284" w:hanging="284"/>
      <w:contextualSpacing/>
    </w:pPr>
  </w:style>
  <w:style w:type="paragraph" w:customStyle="1" w:styleId="Pa6">
    <w:name w:val="Pa6"/>
    <w:basedOn w:val="Normal"/>
    <w:next w:val="Normal"/>
    <w:uiPriority w:val="99"/>
    <w:rsid w:val="009C2A82"/>
    <w:pPr>
      <w:overflowPunct/>
      <w:spacing w:line="221" w:lineRule="atLeast"/>
      <w:jc w:val="left"/>
      <w:textAlignment w:val="auto"/>
    </w:pPr>
    <w:rPr>
      <w:rFonts w:ascii="Minion Pro" w:hAnsi="Minion Pro"/>
      <w:sz w:val="24"/>
      <w:szCs w:val="24"/>
    </w:rPr>
  </w:style>
  <w:style w:type="paragraph" w:customStyle="1" w:styleId="Default">
    <w:name w:val="Default"/>
    <w:rsid w:val="009C2A82"/>
    <w:pPr>
      <w:autoSpaceDE w:val="0"/>
      <w:autoSpaceDN w:val="0"/>
      <w:adjustRightInd w:val="0"/>
    </w:pPr>
    <w:rPr>
      <w:rFonts w:ascii="Minion Pro" w:hAnsi="Minion Pro" w:cs="Minion Pro"/>
      <w:color w:val="000000"/>
      <w:sz w:val="24"/>
      <w:szCs w:val="24"/>
    </w:rPr>
  </w:style>
  <w:style w:type="character" w:styleId="PlaceholderText">
    <w:name w:val="Placeholder Text"/>
    <w:basedOn w:val="DefaultParagraphFont"/>
    <w:uiPriority w:val="99"/>
    <w:semiHidden/>
    <w:rsid w:val="001067D0"/>
    <w:rPr>
      <w:color w:val="808080"/>
    </w:rPr>
  </w:style>
  <w:style w:type="character" w:customStyle="1" w:styleId="ListParagraphChar">
    <w:name w:val="List Paragraph Char"/>
    <w:basedOn w:val="DefaultParagraphFont"/>
    <w:link w:val="ListParagraph"/>
    <w:uiPriority w:val="34"/>
    <w:rsid w:val="003071B3"/>
  </w:style>
  <w:style w:type="character" w:customStyle="1" w:styleId="FooterChar">
    <w:name w:val="Footer Char"/>
    <w:basedOn w:val="DefaultParagraphFont"/>
    <w:link w:val="Footer"/>
    <w:uiPriority w:val="99"/>
    <w:semiHidden/>
    <w:rsid w:val="00131194"/>
  </w:style>
  <w:style w:type="character" w:customStyle="1" w:styleId="HeaderChar">
    <w:name w:val="Header Char"/>
    <w:basedOn w:val="DefaultParagraphFont"/>
    <w:link w:val="Header"/>
    <w:uiPriority w:val="99"/>
    <w:rsid w:val="00131194"/>
  </w:style>
  <w:style w:type="paragraph" w:styleId="NormalWeb">
    <w:name w:val="Normal (Web)"/>
    <w:basedOn w:val="Normal"/>
    <w:uiPriority w:val="99"/>
    <w:unhideWhenUsed/>
    <w:rsid w:val="00131194"/>
    <w:pPr>
      <w:overflowPunct/>
      <w:autoSpaceDE/>
      <w:autoSpaceDN/>
      <w:adjustRightInd/>
      <w:spacing w:before="100" w:beforeAutospacing="1" w:after="100" w:afterAutospacing="1" w:line="276" w:lineRule="auto"/>
      <w:jc w:val="left"/>
      <w:textAlignment w:val="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17023">
      <w:bodyDiv w:val="1"/>
      <w:marLeft w:val="0"/>
      <w:marRight w:val="0"/>
      <w:marTop w:val="0"/>
      <w:marBottom w:val="0"/>
      <w:divBdr>
        <w:top w:val="none" w:sz="0" w:space="0" w:color="auto"/>
        <w:left w:val="none" w:sz="0" w:space="0" w:color="auto"/>
        <w:bottom w:val="none" w:sz="0" w:space="0" w:color="auto"/>
        <w:right w:val="none" w:sz="0" w:space="0" w:color="auto"/>
      </w:divBdr>
      <w:divsChild>
        <w:div w:id="1631667315">
          <w:marLeft w:val="547"/>
          <w:marRight w:val="0"/>
          <w:marTop w:val="154"/>
          <w:marBottom w:val="0"/>
          <w:divBdr>
            <w:top w:val="none" w:sz="0" w:space="0" w:color="auto"/>
            <w:left w:val="none" w:sz="0" w:space="0" w:color="auto"/>
            <w:bottom w:val="none" w:sz="0" w:space="0" w:color="auto"/>
            <w:right w:val="none" w:sz="0" w:space="0" w:color="auto"/>
          </w:divBdr>
        </w:div>
        <w:div w:id="182091743">
          <w:marLeft w:val="547"/>
          <w:marRight w:val="0"/>
          <w:marTop w:val="154"/>
          <w:marBottom w:val="0"/>
          <w:divBdr>
            <w:top w:val="none" w:sz="0" w:space="0" w:color="auto"/>
            <w:left w:val="none" w:sz="0" w:space="0" w:color="auto"/>
            <w:bottom w:val="none" w:sz="0" w:space="0" w:color="auto"/>
            <w:right w:val="none" w:sz="0" w:space="0" w:color="auto"/>
          </w:divBdr>
        </w:div>
        <w:div w:id="733311914">
          <w:marLeft w:val="547"/>
          <w:marRight w:val="0"/>
          <w:marTop w:val="154"/>
          <w:marBottom w:val="0"/>
          <w:divBdr>
            <w:top w:val="none" w:sz="0" w:space="0" w:color="auto"/>
            <w:left w:val="none" w:sz="0" w:space="0" w:color="auto"/>
            <w:bottom w:val="none" w:sz="0" w:space="0" w:color="auto"/>
            <w:right w:val="none" w:sz="0" w:space="0" w:color="auto"/>
          </w:divBdr>
        </w:div>
        <w:div w:id="1911034836">
          <w:marLeft w:val="547"/>
          <w:marRight w:val="0"/>
          <w:marTop w:val="154"/>
          <w:marBottom w:val="0"/>
          <w:divBdr>
            <w:top w:val="none" w:sz="0" w:space="0" w:color="auto"/>
            <w:left w:val="none" w:sz="0" w:space="0" w:color="auto"/>
            <w:bottom w:val="none" w:sz="0" w:space="0" w:color="auto"/>
            <w:right w:val="none" w:sz="0" w:space="0" w:color="auto"/>
          </w:divBdr>
        </w:div>
      </w:divsChild>
    </w:div>
    <w:div w:id="1573853549">
      <w:bodyDiv w:val="1"/>
      <w:marLeft w:val="0"/>
      <w:marRight w:val="0"/>
      <w:marTop w:val="0"/>
      <w:marBottom w:val="0"/>
      <w:divBdr>
        <w:top w:val="none" w:sz="0" w:space="0" w:color="auto"/>
        <w:left w:val="none" w:sz="0" w:space="0" w:color="auto"/>
        <w:bottom w:val="none" w:sz="0" w:space="0" w:color="auto"/>
        <w:right w:val="none" w:sz="0" w:space="0" w:color="auto"/>
      </w:divBdr>
    </w:div>
    <w:div w:id="1584142488">
      <w:bodyDiv w:val="1"/>
      <w:marLeft w:val="0"/>
      <w:marRight w:val="0"/>
      <w:marTop w:val="0"/>
      <w:marBottom w:val="0"/>
      <w:divBdr>
        <w:top w:val="none" w:sz="0" w:space="0" w:color="auto"/>
        <w:left w:val="none" w:sz="0" w:space="0" w:color="auto"/>
        <w:bottom w:val="none" w:sz="0" w:space="0" w:color="auto"/>
        <w:right w:val="none" w:sz="0" w:space="0" w:color="auto"/>
      </w:divBdr>
      <w:divsChild>
        <w:div w:id="1934509942">
          <w:marLeft w:val="965"/>
          <w:marRight w:val="0"/>
          <w:marTop w:val="115"/>
          <w:marBottom w:val="0"/>
          <w:divBdr>
            <w:top w:val="none" w:sz="0" w:space="0" w:color="auto"/>
            <w:left w:val="none" w:sz="0" w:space="0" w:color="auto"/>
            <w:bottom w:val="none" w:sz="0" w:space="0" w:color="auto"/>
            <w:right w:val="none" w:sz="0" w:space="0" w:color="auto"/>
          </w:divBdr>
        </w:div>
        <w:div w:id="350110426">
          <w:marLeft w:val="965"/>
          <w:marRight w:val="0"/>
          <w:marTop w:val="115"/>
          <w:marBottom w:val="0"/>
          <w:divBdr>
            <w:top w:val="none" w:sz="0" w:space="0" w:color="auto"/>
            <w:left w:val="none" w:sz="0" w:space="0" w:color="auto"/>
            <w:bottom w:val="none" w:sz="0" w:space="0" w:color="auto"/>
            <w:right w:val="none" w:sz="0" w:space="0" w:color="auto"/>
          </w:divBdr>
        </w:div>
        <w:div w:id="1173909442">
          <w:marLeft w:val="965"/>
          <w:marRight w:val="0"/>
          <w:marTop w:val="115"/>
          <w:marBottom w:val="0"/>
          <w:divBdr>
            <w:top w:val="none" w:sz="0" w:space="0" w:color="auto"/>
            <w:left w:val="none" w:sz="0" w:space="0" w:color="auto"/>
            <w:bottom w:val="none" w:sz="0" w:space="0" w:color="auto"/>
            <w:right w:val="none" w:sz="0" w:space="0" w:color="auto"/>
          </w:divBdr>
        </w:div>
        <w:div w:id="90786653">
          <w:marLeft w:val="965"/>
          <w:marRight w:val="0"/>
          <w:marTop w:val="115"/>
          <w:marBottom w:val="0"/>
          <w:divBdr>
            <w:top w:val="none" w:sz="0" w:space="0" w:color="auto"/>
            <w:left w:val="none" w:sz="0" w:space="0" w:color="auto"/>
            <w:bottom w:val="none" w:sz="0" w:space="0" w:color="auto"/>
            <w:right w:val="none" w:sz="0" w:space="0" w:color="auto"/>
          </w:divBdr>
        </w:div>
      </w:divsChild>
    </w:div>
    <w:div w:id="1803696690">
      <w:bodyDiv w:val="1"/>
      <w:marLeft w:val="0"/>
      <w:marRight w:val="0"/>
      <w:marTop w:val="0"/>
      <w:marBottom w:val="0"/>
      <w:divBdr>
        <w:top w:val="none" w:sz="0" w:space="0" w:color="auto"/>
        <w:left w:val="none" w:sz="0" w:space="0" w:color="auto"/>
        <w:bottom w:val="none" w:sz="0" w:space="0" w:color="auto"/>
        <w:right w:val="none" w:sz="0" w:space="0" w:color="auto"/>
      </w:divBdr>
      <w:divsChild>
        <w:div w:id="1879076975">
          <w:marLeft w:val="0"/>
          <w:marRight w:val="0"/>
          <w:marTop w:val="0"/>
          <w:marBottom w:val="0"/>
          <w:divBdr>
            <w:top w:val="none" w:sz="0" w:space="0" w:color="auto"/>
            <w:left w:val="none" w:sz="0" w:space="0" w:color="auto"/>
            <w:bottom w:val="none" w:sz="0" w:space="0" w:color="auto"/>
            <w:right w:val="none" w:sz="0" w:space="0" w:color="auto"/>
          </w:divBdr>
          <w:divsChild>
            <w:div w:id="267010262">
              <w:marLeft w:val="0"/>
              <w:marRight w:val="0"/>
              <w:marTop w:val="0"/>
              <w:marBottom w:val="0"/>
              <w:divBdr>
                <w:top w:val="none" w:sz="0" w:space="0" w:color="auto"/>
                <w:left w:val="none" w:sz="0" w:space="0" w:color="auto"/>
                <w:bottom w:val="none" w:sz="0" w:space="0" w:color="auto"/>
                <w:right w:val="none" w:sz="0" w:space="0" w:color="auto"/>
              </w:divBdr>
              <w:divsChild>
                <w:div w:id="871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50188">
      <w:bodyDiv w:val="1"/>
      <w:marLeft w:val="0"/>
      <w:marRight w:val="0"/>
      <w:marTop w:val="0"/>
      <w:marBottom w:val="0"/>
      <w:divBdr>
        <w:top w:val="none" w:sz="0" w:space="0" w:color="auto"/>
        <w:left w:val="none" w:sz="0" w:space="0" w:color="auto"/>
        <w:bottom w:val="none" w:sz="0" w:space="0" w:color="auto"/>
        <w:right w:val="none" w:sz="0" w:space="0" w:color="auto"/>
      </w:divBdr>
      <w:divsChild>
        <w:div w:id="669335821">
          <w:marLeft w:val="547"/>
          <w:marRight w:val="0"/>
          <w:marTop w:val="134"/>
          <w:marBottom w:val="0"/>
          <w:divBdr>
            <w:top w:val="none" w:sz="0" w:space="0" w:color="auto"/>
            <w:left w:val="none" w:sz="0" w:space="0" w:color="auto"/>
            <w:bottom w:val="none" w:sz="0" w:space="0" w:color="auto"/>
            <w:right w:val="none" w:sz="0" w:space="0" w:color="auto"/>
          </w:divBdr>
        </w:div>
        <w:div w:id="614945998">
          <w:marLeft w:val="547"/>
          <w:marRight w:val="0"/>
          <w:marTop w:val="134"/>
          <w:marBottom w:val="0"/>
          <w:divBdr>
            <w:top w:val="none" w:sz="0" w:space="0" w:color="auto"/>
            <w:left w:val="none" w:sz="0" w:space="0" w:color="auto"/>
            <w:bottom w:val="none" w:sz="0" w:space="0" w:color="auto"/>
            <w:right w:val="none" w:sz="0" w:space="0" w:color="auto"/>
          </w:divBdr>
        </w:div>
        <w:div w:id="1934318947">
          <w:marLeft w:val="547"/>
          <w:marRight w:val="0"/>
          <w:marTop w:val="134"/>
          <w:marBottom w:val="0"/>
          <w:divBdr>
            <w:top w:val="none" w:sz="0" w:space="0" w:color="auto"/>
            <w:left w:val="none" w:sz="0" w:space="0" w:color="auto"/>
            <w:bottom w:val="none" w:sz="0" w:space="0" w:color="auto"/>
            <w:right w:val="none" w:sz="0" w:space="0" w:color="auto"/>
          </w:divBdr>
        </w:div>
        <w:div w:id="1194462576">
          <w:marLeft w:val="1166"/>
          <w:marRight w:val="0"/>
          <w:marTop w:val="115"/>
          <w:marBottom w:val="0"/>
          <w:divBdr>
            <w:top w:val="none" w:sz="0" w:space="0" w:color="auto"/>
            <w:left w:val="none" w:sz="0" w:space="0" w:color="auto"/>
            <w:bottom w:val="none" w:sz="0" w:space="0" w:color="auto"/>
            <w:right w:val="none" w:sz="0" w:space="0" w:color="auto"/>
          </w:divBdr>
        </w:div>
        <w:div w:id="16039561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wering.Agriculture@giz.d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weringag.org"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pedia.info/wiki/Toolbox_on_SPIS" TargetMode="Externa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gfa">
  <a:themeElements>
    <a:clrScheme name="gfa">
      <a:dk1>
        <a:sysClr val="windowText" lastClr="000000"/>
      </a:dk1>
      <a:lt1>
        <a:sysClr val="window" lastClr="FFFFFF"/>
      </a:lt1>
      <a:dk2>
        <a:srgbClr val="1F497D"/>
      </a:dk2>
      <a:lt2>
        <a:srgbClr val="EEECE1"/>
      </a:lt2>
      <a:accent1>
        <a:srgbClr val="148DCD"/>
      </a:accent1>
      <a:accent2>
        <a:srgbClr val="94BAE3"/>
      </a:accent2>
      <a:accent3>
        <a:srgbClr val="00AE8E"/>
      </a:accent3>
      <a:accent4>
        <a:srgbClr val="72C8B4"/>
      </a:accent4>
      <a:accent5>
        <a:srgbClr val="1F497D"/>
      </a:accent5>
      <a:accent6>
        <a:srgbClr val="034EA2"/>
      </a:accent6>
      <a:hlink>
        <a:srgbClr val="0000FF"/>
      </a:hlink>
      <a:folHlink>
        <a:srgbClr val="800080"/>
      </a:folHlink>
    </a:clrScheme>
    <a:fontScheme name="gf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35B8E-19B1-4F5D-B000-855EFAE1F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1092</Words>
  <Characters>6594</Characters>
  <Application>Microsoft Office Word</Application>
  <DocSecurity>0</DocSecurity>
  <Lines>549</Lines>
  <Paragraphs>265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2019-04-18T08:57:00Z</dcterms:created>
  <dcterms:modified xsi:type="dcterms:W3CDTF">2019-05-13T09:47:00Z</dcterms:modified>
</cp:coreProperties>
</file>